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C6" w:rsidRPr="00F4179E" w:rsidRDefault="007848C6" w:rsidP="007848C6">
      <w:pPr>
        <w:spacing w:after="0" w:line="240" w:lineRule="auto"/>
        <w:rPr>
          <w:rFonts w:ascii="Bookman Old Style" w:hAnsi="Bookman Old Style"/>
          <w:b/>
          <w:sz w:val="28"/>
          <w:szCs w:val="28"/>
        </w:rPr>
      </w:pPr>
      <w:r w:rsidRPr="00D24A77">
        <w:rPr>
          <w:rFonts w:ascii="Bookman Old Style" w:hAnsi="Bookman Old Style" w:cstheme="minorHAnsi"/>
          <w:b/>
          <w:sz w:val="28"/>
          <w:szCs w:val="28"/>
        </w:rPr>
        <w:t xml:space="preserve">IN THE SUPREME COURT FOR ZAMBIA  </w:t>
      </w:r>
      <w:r>
        <w:rPr>
          <w:rFonts w:ascii="Bookman Old Style" w:hAnsi="Bookman Old Style" w:cstheme="minorHAnsi"/>
          <w:b/>
          <w:sz w:val="28"/>
          <w:szCs w:val="28"/>
        </w:rPr>
        <w:tab/>
      </w:r>
      <w:r>
        <w:rPr>
          <w:rFonts w:ascii="Bookman Old Style" w:hAnsi="Bookman Old Style" w:cstheme="minorHAnsi"/>
          <w:b/>
          <w:sz w:val="24"/>
          <w:szCs w:val="24"/>
          <w:u w:val="single"/>
        </w:rPr>
        <w:t xml:space="preserve">SCZ/8/045/2011 </w:t>
      </w:r>
    </w:p>
    <w:p w:rsidR="007848C6" w:rsidRPr="00272C58" w:rsidRDefault="007848C6" w:rsidP="007848C6">
      <w:pPr>
        <w:spacing w:after="0" w:line="240" w:lineRule="auto"/>
        <w:rPr>
          <w:rFonts w:ascii="Bookman Old Style" w:hAnsi="Bookman Old Style" w:cstheme="minorHAnsi"/>
          <w:b/>
          <w:sz w:val="28"/>
          <w:szCs w:val="28"/>
        </w:rPr>
      </w:pPr>
      <w:r>
        <w:rPr>
          <w:rFonts w:ascii="Bookman Old Style" w:hAnsi="Bookman Old Style" w:cstheme="minorHAnsi"/>
          <w:b/>
          <w:sz w:val="28"/>
          <w:szCs w:val="28"/>
        </w:rPr>
        <w:t>HOLDEN AT LUSAKA</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 xml:space="preserve">        </w:t>
      </w:r>
    </w:p>
    <w:p w:rsidR="007848C6" w:rsidRPr="002E6E52" w:rsidRDefault="009B363C" w:rsidP="007848C6">
      <w:pPr>
        <w:spacing w:after="0"/>
        <w:rPr>
          <w:rFonts w:ascii="Bookman Old Style" w:hAnsi="Bookman Old Style" w:cstheme="minorHAnsi"/>
          <w:sz w:val="24"/>
          <w:szCs w:val="24"/>
        </w:rPr>
      </w:pPr>
      <w:r>
        <w:rPr>
          <w:rFonts w:ascii="Bookman Old Style" w:hAnsi="Bookman Old Style" w:cstheme="minorHAnsi"/>
          <w:sz w:val="24"/>
          <w:szCs w:val="24"/>
        </w:rPr>
        <w:t>(Civi</w:t>
      </w:r>
      <w:r w:rsidR="007848C6">
        <w:rPr>
          <w:rFonts w:ascii="Bookman Old Style" w:hAnsi="Bookman Old Style" w:cstheme="minorHAnsi"/>
          <w:sz w:val="24"/>
          <w:szCs w:val="24"/>
        </w:rPr>
        <w:t>l</w:t>
      </w:r>
      <w:r w:rsidR="007848C6" w:rsidRPr="002E6E52">
        <w:rPr>
          <w:rFonts w:ascii="Bookman Old Style" w:hAnsi="Bookman Old Style" w:cstheme="minorHAnsi"/>
          <w:sz w:val="24"/>
          <w:szCs w:val="24"/>
        </w:rPr>
        <w:t xml:space="preserve"> Jurisdiction)</w:t>
      </w:r>
    </w:p>
    <w:p w:rsidR="007848C6" w:rsidRDefault="007848C6" w:rsidP="007848C6">
      <w:pPr>
        <w:spacing w:after="0" w:line="360" w:lineRule="auto"/>
        <w:rPr>
          <w:rFonts w:ascii="Bookman Old Style" w:hAnsi="Bookman Old Style" w:cstheme="minorHAnsi"/>
          <w:b/>
          <w:sz w:val="28"/>
          <w:szCs w:val="28"/>
        </w:rPr>
      </w:pPr>
    </w:p>
    <w:p w:rsidR="007848C6" w:rsidRDefault="007848C6" w:rsidP="007848C6">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BETWEEN:</w:t>
      </w:r>
    </w:p>
    <w:p w:rsidR="007848C6" w:rsidRPr="00D24A77" w:rsidRDefault="007848C6" w:rsidP="008C0474">
      <w:pPr>
        <w:spacing w:after="0" w:line="240" w:lineRule="auto"/>
        <w:rPr>
          <w:rFonts w:ascii="Bookman Old Style" w:hAnsi="Bookman Old Style" w:cstheme="minorHAnsi"/>
          <w:b/>
          <w:sz w:val="28"/>
          <w:szCs w:val="28"/>
        </w:rPr>
      </w:pPr>
    </w:p>
    <w:p w:rsidR="007848C6" w:rsidRDefault="007848C6" w:rsidP="007848C6">
      <w:pPr>
        <w:spacing w:line="360" w:lineRule="auto"/>
        <w:rPr>
          <w:rFonts w:ascii="Bookman Old Style" w:hAnsi="Bookman Old Style" w:cstheme="minorHAnsi"/>
          <w:b/>
          <w:sz w:val="28"/>
          <w:szCs w:val="28"/>
        </w:rPr>
      </w:pPr>
      <w:r>
        <w:rPr>
          <w:rFonts w:ascii="Bookman Old Style" w:hAnsi="Bookman Old Style" w:cstheme="minorHAnsi"/>
          <w:b/>
          <w:sz w:val="28"/>
          <w:szCs w:val="28"/>
        </w:rPr>
        <w:t xml:space="preserve">PERCY SILLITOE </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APPELLANT</w:t>
      </w:r>
    </w:p>
    <w:p w:rsidR="007848C6" w:rsidRDefault="007848C6" w:rsidP="007848C6">
      <w:pPr>
        <w:spacing w:line="360" w:lineRule="auto"/>
        <w:rPr>
          <w:rFonts w:ascii="Bookman Old Style" w:hAnsi="Bookman Old Style" w:cstheme="minorHAnsi"/>
          <w:b/>
          <w:sz w:val="28"/>
          <w:szCs w:val="28"/>
        </w:rPr>
      </w:pPr>
      <w:r>
        <w:rPr>
          <w:rFonts w:ascii="Bookman Old Style" w:hAnsi="Bookman Old Style" w:cstheme="minorHAnsi"/>
          <w:b/>
          <w:sz w:val="28"/>
          <w:szCs w:val="28"/>
        </w:rPr>
        <w:t>AND</w:t>
      </w:r>
    </w:p>
    <w:p w:rsidR="007848C6" w:rsidRPr="00D24A77" w:rsidRDefault="007848C6" w:rsidP="007848C6">
      <w:pPr>
        <w:rPr>
          <w:rFonts w:ascii="Bookman Old Style" w:hAnsi="Bookman Old Style" w:cstheme="minorHAnsi"/>
          <w:b/>
          <w:sz w:val="28"/>
          <w:szCs w:val="28"/>
        </w:rPr>
      </w:pPr>
      <w:r>
        <w:rPr>
          <w:rFonts w:ascii="Bookman Old Style" w:hAnsi="Bookman Old Style" w:cstheme="minorHAnsi"/>
          <w:b/>
          <w:sz w:val="28"/>
          <w:szCs w:val="28"/>
        </w:rPr>
        <w:t xml:space="preserve">STANBIC BANK ZAMBIA LIMITED </w:t>
      </w:r>
      <w:r>
        <w:rPr>
          <w:rFonts w:ascii="Bookman Old Style" w:hAnsi="Bookman Old Style" w:cstheme="minorHAnsi"/>
          <w:b/>
          <w:sz w:val="28"/>
          <w:szCs w:val="28"/>
        </w:rPr>
        <w:tab/>
      </w:r>
      <w:r>
        <w:rPr>
          <w:rFonts w:ascii="Bookman Old Style" w:hAnsi="Bookman Old Style" w:cstheme="minorHAnsi"/>
          <w:b/>
          <w:sz w:val="28"/>
          <w:szCs w:val="28"/>
        </w:rPr>
        <w:tab/>
        <w:t>1</w:t>
      </w:r>
      <w:r w:rsidR="005D585F">
        <w:rPr>
          <w:rFonts w:ascii="Bookman Old Style" w:hAnsi="Bookman Old Style" w:cstheme="minorHAnsi"/>
          <w:b/>
          <w:sz w:val="28"/>
          <w:szCs w:val="28"/>
          <w:vertAlign w:val="superscript"/>
        </w:rPr>
        <w:t>st</w:t>
      </w:r>
      <w:r>
        <w:rPr>
          <w:rFonts w:ascii="Bookman Old Style" w:hAnsi="Bookman Old Style" w:cstheme="minorHAnsi"/>
          <w:b/>
          <w:sz w:val="28"/>
          <w:szCs w:val="28"/>
        </w:rPr>
        <w:t xml:space="preserve"> RESPONDENT</w:t>
      </w:r>
    </w:p>
    <w:p w:rsidR="007848C6" w:rsidRDefault="007848C6" w:rsidP="007848C6">
      <w:pPr>
        <w:spacing w:after="0" w:line="480" w:lineRule="auto"/>
        <w:rPr>
          <w:rFonts w:ascii="Bookman Old Style" w:hAnsi="Bookman Old Style" w:cstheme="minorHAnsi"/>
          <w:b/>
          <w:sz w:val="28"/>
          <w:szCs w:val="28"/>
        </w:rPr>
      </w:pPr>
      <w:r>
        <w:rPr>
          <w:rFonts w:ascii="Bookman Old Style" w:hAnsi="Bookman Old Style" w:cstheme="minorHAnsi"/>
          <w:b/>
          <w:sz w:val="28"/>
          <w:szCs w:val="28"/>
        </w:rPr>
        <w:t>NPS CARRIES LIMITED</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2</w:t>
      </w:r>
      <w:r w:rsidR="005D585F">
        <w:rPr>
          <w:rFonts w:ascii="Bookman Old Style" w:hAnsi="Bookman Old Style" w:cstheme="minorHAnsi"/>
          <w:b/>
          <w:sz w:val="28"/>
          <w:szCs w:val="28"/>
          <w:vertAlign w:val="superscript"/>
        </w:rPr>
        <w:t>nd</w:t>
      </w:r>
      <w:r>
        <w:rPr>
          <w:rFonts w:ascii="Bookman Old Style" w:hAnsi="Bookman Old Style" w:cstheme="minorHAnsi"/>
          <w:b/>
          <w:sz w:val="28"/>
          <w:szCs w:val="28"/>
        </w:rPr>
        <w:t xml:space="preserve"> RESPONDENT</w:t>
      </w:r>
    </w:p>
    <w:p w:rsidR="008C0474" w:rsidRDefault="008C0474" w:rsidP="008C0474">
      <w:pPr>
        <w:spacing w:after="0" w:line="240" w:lineRule="auto"/>
        <w:jc w:val="both"/>
        <w:rPr>
          <w:rFonts w:ascii="Bookman Old Style" w:hAnsi="Bookman Old Style" w:cstheme="minorHAnsi"/>
          <w:b/>
          <w:i/>
          <w:sz w:val="24"/>
          <w:szCs w:val="24"/>
        </w:rPr>
      </w:pPr>
    </w:p>
    <w:p w:rsidR="00E70C34" w:rsidRPr="008C0474" w:rsidRDefault="00E70C34" w:rsidP="00E70C34">
      <w:pPr>
        <w:spacing w:line="240" w:lineRule="auto"/>
        <w:jc w:val="both"/>
        <w:rPr>
          <w:rFonts w:ascii="Bookman Old Style" w:hAnsi="Bookman Old Style" w:cstheme="minorHAnsi"/>
          <w:b/>
          <w:i/>
          <w:sz w:val="24"/>
          <w:szCs w:val="24"/>
        </w:rPr>
      </w:pPr>
      <w:r w:rsidRPr="008C0474">
        <w:rPr>
          <w:rFonts w:ascii="Bookman Old Style" w:hAnsi="Bookman Old Style" w:cstheme="minorHAnsi"/>
          <w:b/>
          <w:i/>
          <w:sz w:val="24"/>
          <w:szCs w:val="24"/>
        </w:rPr>
        <w:t xml:space="preserve">Before Hon. Mrs. Justice E.N.C </w:t>
      </w:r>
      <w:proofErr w:type="spellStart"/>
      <w:r w:rsidRPr="008C0474">
        <w:rPr>
          <w:rFonts w:ascii="Bookman Old Style" w:hAnsi="Bookman Old Style" w:cstheme="minorHAnsi"/>
          <w:b/>
          <w:i/>
          <w:sz w:val="24"/>
          <w:szCs w:val="24"/>
        </w:rPr>
        <w:t>Muyovwe</w:t>
      </w:r>
      <w:proofErr w:type="spellEnd"/>
      <w:r w:rsidRPr="008C0474">
        <w:rPr>
          <w:rFonts w:ascii="Bookman Old Style" w:hAnsi="Bookman Old Style" w:cstheme="minorHAnsi"/>
          <w:b/>
          <w:i/>
          <w:sz w:val="24"/>
          <w:szCs w:val="24"/>
        </w:rPr>
        <w:t xml:space="preserve"> on the </w:t>
      </w:r>
      <w:r w:rsidR="000E3782">
        <w:rPr>
          <w:rFonts w:ascii="Bookman Old Style" w:hAnsi="Bookman Old Style" w:cstheme="minorHAnsi"/>
          <w:b/>
          <w:i/>
          <w:sz w:val="24"/>
          <w:szCs w:val="24"/>
        </w:rPr>
        <w:t>23</w:t>
      </w:r>
      <w:r w:rsidR="000E3782" w:rsidRPr="000E3782">
        <w:rPr>
          <w:rFonts w:ascii="Bookman Old Style" w:hAnsi="Bookman Old Style" w:cstheme="minorHAnsi"/>
          <w:b/>
          <w:i/>
          <w:sz w:val="24"/>
          <w:szCs w:val="24"/>
          <w:vertAlign w:val="superscript"/>
        </w:rPr>
        <w:t>rd</w:t>
      </w:r>
      <w:r w:rsidR="000E3782">
        <w:rPr>
          <w:rFonts w:ascii="Bookman Old Style" w:hAnsi="Bookman Old Style" w:cstheme="minorHAnsi"/>
          <w:b/>
          <w:i/>
          <w:sz w:val="24"/>
          <w:szCs w:val="24"/>
        </w:rPr>
        <w:t xml:space="preserve"> May, </w:t>
      </w:r>
      <w:r w:rsidRPr="008C0474">
        <w:rPr>
          <w:rFonts w:ascii="Bookman Old Style" w:hAnsi="Bookman Old Style" w:cstheme="minorHAnsi"/>
          <w:b/>
          <w:i/>
          <w:sz w:val="24"/>
          <w:szCs w:val="24"/>
        </w:rPr>
        <w:t>2012</w:t>
      </w:r>
    </w:p>
    <w:p w:rsidR="007848C6" w:rsidRDefault="007848C6" w:rsidP="007848C6">
      <w:pPr>
        <w:spacing w:after="0" w:line="240" w:lineRule="auto"/>
        <w:rPr>
          <w:rFonts w:ascii="Bookman Old Style" w:hAnsi="Bookman Old Style"/>
          <w:b/>
          <w:sz w:val="28"/>
          <w:szCs w:val="28"/>
        </w:rPr>
      </w:pPr>
    </w:p>
    <w:p w:rsidR="007848C6" w:rsidRDefault="007848C6" w:rsidP="007848C6">
      <w:pPr>
        <w:spacing w:after="0" w:line="240" w:lineRule="auto"/>
        <w:rPr>
          <w:rFonts w:ascii="Bookman Old Style" w:hAnsi="Bookman Old Style"/>
          <w:sz w:val="28"/>
          <w:szCs w:val="28"/>
        </w:rPr>
      </w:pPr>
      <w:r>
        <w:rPr>
          <w:rFonts w:ascii="Bookman Old Style" w:hAnsi="Bookman Old Style"/>
          <w:sz w:val="28"/>
          <w:szCs w:val="28"/>
        </w:rPr>
        <w:t xml:space="preserve">For the Appellant:  Mr. R. </w:t>
      </w:r>
      <w:proofErr w:type="spellStart"/>
      <w:r>
        <w:rPr>
          <w:rFonts w:ascii="Bookman Old Style" w:hAnsi="Bookman Old Style"/>
          <w:sz w:val="28"/>
          <w:szCs w:val="28"/>
        </w:rPr>
        <w:t>Mainza</w:t>
      </w:r>
      <w:proofErr w:type="spellEnd"/>
      <w:r>
        <w:rPr>
          <w:rFonts w:ascii="Bookman Old Style" w:hAnsi="Bookman Old Style"/>
          <w:sz w:val="28"/>
          <w:szCs w:val="28"/>
        </w:rPr>
        <w:t xml:space="preserve">, Messrs </w:t>
      </w:r>
      <w:proofErr w:type="spellStart"/>
      <w:r>
        <w:rPr>
          <w:rFonts w:ascii="Bookman Old Style" w:hAnsi="Bookman Old Style"/>
          <w:sz w:val="28"/>
          <w:szCs w:val="28"/>
        </w:rPr>
        <w:t>Mainza</w:t>
      </w:r>
      <w:proofErr w:type="spellEnd"/>
      <w:r>
        <w:rPr>
          <w:rFonts w:ascii="Bookman Old Style" w:hAnsi="Bookman Old Style"/>
          <w:sz w:val="28"/>
          <w:szCs w:val="28"/>
        </w:rPr>
        <w:t xml:space="preserve"> and Company   </w:t>
      </w:r>
    </w:p>
    <w:p w:rsidR="007848C6" w:rsidRDefault="007848C6" w:rsidP="009B363C">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p>
    <w:p w:rsidR="005D585F" w:rsidRDefault="007848C6" w:rsidP="005D585F">
      <w:pPr>
        <w:spacing w:after="0" w:line="240" w:lineRule="auto"/>
        <w:rPr>
          <w:rFonts w:ascii="Bookman Old Style" w:hAnsi="Bookman Old Style"/>
          <w:sz w:val="28"/>
          <w:szCs w:val="28"/>
        </w:rPr>
      </w:pPr>
      <w:r>
        <w:rPr>
          <w:rFonts w:ascii="Bookman Old Style" w:hAnsi="Bookman Old Style"/>
          <w:sz w:val="28"/>
          <w:szCs w:val="28"/>
        </w:rPr>
        <w:t>For the 1</w:t>
      </w:r>
      <w:r w:rsidR="005D585F" w:rsidRPr="005D585F">
        <w:rPr>
          <w:rFonts w:ascii="Bookman Old Style" w:hAnsi="Bookman Old Style"/>
          <w:sz w:val="28"/>
          <w:szCs w:val="28"/>
          <w:vertAlign w:val="superscript"/>
        </w:rPr>
        <w:t>st</w:t>
      </w:r>
      <w:r w:rsidR="005D585F">
        <w:rPr>
          <w:rFonts w:ascii="Bookman Old Style" w:hAnsi="Bookman Old Style"/>
          <w:sz w:val="28"/>
          <w:szCs w:val="28"/>
        </w:rPr>
        <w:t xml:space="preserve"> Respondent:  </w:t>
      </w:r>
      <w:r>
        <w:rPr>
          <w:rFonts w:ascii="Bookman Old Style" w:hAnsi="Bookman Old Style"/>
          <w:sz w:val="28"/>
          <w:szCs w:val="28"/>
        </w:rPr>
        <w:t>Mr</w:t>
      </w:r>
      <w:r w:rsidR="005D585F">
        <w:rPr>
          <w:rFonts w:ascii="Bookman Old Style" w:hAnsi="Bookman Old Style"/>
          <w:sz w:val="28"/>
          <w:szCs w:val="28"/>
        </w:rPr>
        <w:t xml:space="preserve">. A. </w:t>
      </w:r>
      <w:proofErr w:type="spellStart"/>
      <w:r w:rsidR="005D585F">
        <w:rPr>
          <w:rFonts w:ascii="Bookman Old Style" w:hAnsi="Bookman Old Style"/>
          <w:sz w:val="28"/>
          <w:szCs w:val="28"/>
        </w:rPr>
        <w:t>Kalikiti</w:t>
      </w:r>
      <w:proofErr w:type="spellEnd"/>
      <w:r w:rsidR="005D585F">
        <w:rPr>
          <w:rFonts w:ascii="Bookman Old Style" w:hAnsi="Bookman Old Style"/>
          <w:sz w:val="28"/>
          <w:szCs w:val="28"/>
        </w:rPr>
        <w:t xml:space="preserve">, </w:t>
      </w:r>
      <w:proofErr w:type="spellStart"/>
      <w:r w:rsidR="005D585F">
        <w:rPr>
          <w:rFonts w:ascii="Bookman Old Style" w:hAnsi="Bookman Old Style"/>
          <w:sz w:val="28"/>
          <w:szCs w:val="28"/>
        </w:rPr>
        <w:t>Mambwe</w:t>
      </w:r>
      <w:proofErr w:type="spellEnd"/>
      <w:r w:rsidR="005D585F">
        <w:rPr>
          <w:rFonts w:ascii="Bookman Old Style" w:hAnsi="Bookman Old Style"/>
          <w:sz w:val="28"/>
          <w:szCs w:val="28"/>
        </w:rPr>
        <w:t xml:space="preserve"> </w:t>
      </w:r>
      <w:proofErr w:type="spellStart"/>
      <w:r w:rsidR="005D585F">
        <w:rPr>
          <w:rFonts w:ascii="Bookman Old Style" w:hAnsi="Bookman Old Style"/>
          <w:sz w:val="28"/>
          <w:szCs w:val="28"/>
        </w:rPr>
        <w:t>Siwila</w:t>
      </w:r>
      <w:proofErr w:type="spellEnd"/>
      <w:r w:rsidR="005D585F">
        <w:rPr>
          <w:rFonts w:ascii="Bookman Old Style" w:hAnsi="Bookman Old Style"/>
          <w:sz w:val="28"/>
          <w:szCs w:val="28"/>
        </w:rPr>
        <w:t xml:space="preserve"> and</w:t>
      </w:r>
    </w:p>
    <w:p w:rsidR="007848C6" w:rsidRDefault="005D585F" w:rsidP="009B363C">
      <w:pPr>
        <w:spacing w:after="0" w:line="36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Partners</w:t>
      </w:r>
    </w:p>
    <w:p w:rsidR="005D585F" w:rsidRPr="009725BE" w:rsidRDefault="005D585F" w:rsidP="005D585F">
      <w:pPr>
        <w:spacing w:after="0" w:line="240" w:lineRule="auto"/>
        <w:rPr>
          <w:rFonts w:ascii="Bookman Old Style" w:hAnsi="Bookman Old Style"/>
          <w:sz w:val="28"/>
          <w:szCs w:val="28"/>
        </w:rPr>
      </w:pPr>
      <w:r>
        <w:rPr>
          <w:rFonts w:ascii="Bookman Old Style" w:hAnsi="Bookman Old Style"/>
          <w:sz w:val="28"/>
          <w:szCs w:val="28"/>
        </w:rPr>
        <w:t>For the 2</w:t>
      </w:r>
      <w:r w:rsidRPr="005D585F">
        <w:rPr>
          <w:rFonts w:ascii="Bookman Old Style" w:hAnsi="Bookman Old Style"/>
          <w:sz w:val="28"/>
          <w:szCs w:val="28"/>
          <w:vertAlign w:val="superscript"/>
        </w:rPr>
        <w:t>nd</w:t>
      </w:r>
      <w:r>
        <w:rPr>
          <w:rFonts w:ascii="Bookman Old Style" w:hAnsi="Bookman Old Style"/>
          <w:sz w:val="28"/>
          <w:szCs w:val="28"/>
        </w:rPr>
        <w:t xml:space="preserve"> Respondent:  No Appearance</w:t>
      </w:r>
    </w:p>
    <w:p w:rsidR="007848C6" w:rsidRPr="000564AA" w:rsidRDefault="007848C6" w:rsidP="007848C6">
      <w:pPr>
        <w:pBdr>
          <w:bottom w:val="single" w:sz="12" w:space="1" w:color="auto"/>
        </w:pBdr>
        <w:spacing w:after="0" w:line="240" w:lineRule="auto"/>
        <w:jc w:val="both"/>
        <w:rPr>
          <w:rFonts w:ascii="Bookman Old Style" w:hAnsi="Bookman Old Style" w:cstheme="minorHAnsi"/>
          <w:b/>
          <w:sz w:val="24"/>
          <w:szCs w:val="24"/>
        </w:rPr>
      </w:pPr>
    </w:p>
    <w:p w:rsidR="007848C6" w:rsidRPr="00EB7401" w:rsidRDefault="007848C6" w:rsidP="007848C6">
      <w:pPr>
        <w:pBdr>
          <w:bottom w:val="single" w:sz="12" w:space="10" w:color="auto"/>
        </w:pBdr>
        <w:spacing w:after="0"/>
        <w:jc w:val="center"/>
        <w:rPr>
          <w:rFonts w:ascii="Bookman Old Style" w:hAnsi="Bookman Old Style"/>
          <w:b/>
          <w:bCs/>
          <w:sz w:val="24"/>
          <w:szCs w:val="24"/>
        </w:rPr>
      </w:pPr>
    </w:p>
    <w:p w:rsidR="007848C6" w:rsidRPr="000564AA" w:rsidRDefault="008C0474" w:rsidP="007848C6">
      <w:pPr>
        <w:pBdr>
          <w:bottom w:val="single" w:sz="12" w:space="10" w:color="auto"/>
        </w:pBdr>
        <w:jc w:val="center"/>
        <w:rPr>
          <w:rFonts w:ascii="Bookman Old Style" w:hAnsi="Bookman Old Style"/>
          <w:b/>
          <w:bCs/>
          <w:sz w:val="28"/>
          <w:szCs w:val="28"/>
        </w:rPr>
      </w:pPr>
      <w:r>
        <w:rPr>
          <w:rFonts w:ascii="Bookman Old Style" w:hAnsi="Bookman Old Style"/>
          <w:b/>
          <w:bCs/>
          <w:sz w:val="28"/>
          <w:szCs w:val="28"/>
        </w:rPr>
        <w:t xml:space="preserve">R U L I N G </w:t>
      </w:r>
    </w:p>
    <w:p w:rsidR="00E70C34" w:rsidRDefault="007848C6" w:rsidP="00E70C34">
      <w:pPr>
        <w:rPr>
          <w:rFonts w:ascii="Bookman Old Style" w:hAnsi="Bookman Old Style"/>
          <w:b/>
          <w:sz w:val="28"/>
          <w:szCs w:val="28"/>
          <w:u w:val="single"/>
        </w:rPr>
      </w:pPr>
      <w:r>
        <w:rPr>
          <w:rFonts w:ascii="Bookman Old Style" w:hAnsi="Bookman Old Style"/>
          <w:b/>
          <w:sz w:val="28"/>
          <w:szCs w:val="28"/>
          <w:u w:val="single"/>
        </w:rPr>
        <w:t>Cases referred to:</w:t>
      </w:r>
    </w:p>
    <w:p w:rsidR="00E70C34" w:rsidRPr="00E70C34" w:rsidRDefault="00E70C34" w:rsidP="00E70C34">
      <w:pPr>
        <w:pStyle w:val="ListParagraph"/>
        <w:numPr>
          <w:ilvl w:val="0"/>
          <w:numId w:val="4"/>
        </w:numPr>
        <w:spacing w:line="240" w:lineRule="auto"/>
        <w:rPr>
          <w:rFonts w:ascii="Bookman Old Style" w:hAnsi="Bookman Old Style"/>
          <w:b/>
          <w:sz w:val="24"/>
          <w:szCs w:val="24"/>
          <w:u w:val="single"/>
        </w:rPr>
      </w:pPr>
      <w:r w:rsidRPr="00E70C34">
        <w:rPr>
          <w:rFonts w:ascii="Bookman Old Style" w:hAnsi="Bookman Old Style"/>
          <w:b/>
          <w:sz w:val="24"/>
          <w:szCs w:val="24"/>
        </w:rPr>
        <w:t xml:space="preserve">Sonny Paul </w:t>
      </w:r>
      <w:proofErr w:type="spellStart"/>
      <w:r w:rsidRPr="00E70C34">
        <w:rPr>
          <w:rFonts w:ascii="Bookman Old Style" w:hAnsi="Bookman Old Style"/>
          <w:b/>
          <w:sz w:val="24"/>
          <w:szCs w:val="24"/>
        </w:rPr>
        <w:t>Mulenga</w:t>
      </w:r>
      <w:proofErr w:type="spellEnd"/>
      <w:r w:rsidRPr="00E70C34">
        <w:rPr>
          <w:rFonts w:ascii="Bookman Old Style" w:hAnsi="Bookman Old Style"/>
          <w:b/>
          <w:sz w:val="24"/>
          <w:szCs w:val="24"/>
        </w:rPr>
        <w:t xml:space="preserve"> and Others vs. Investment Merchant Bank Limited (1999) Z.R. at page 1</w:t>
      </w:r>
    </w:p>
    <w:p w:rsidR="00E70C34" w:rsidRPr="00E70C34" w:rsidRDefault="00E70C34" w:rsidP="00E70C34">
      <w:pPr>
        <w:pStyle w:val="ListParagraph"/>
        <w:spacing w:line="240" w:lineRule="auto"/>
        <w:rPr>
          <w:rFonts w:ascii="Bookman Old Style" w:hAnsi="Bookman Old Style"/>
          <w:b/>
          <w:sz w:val="24"/>
          <w:szCs w:val="24"/>
          <w:u w:val="single"/>
        </w:rPr>
      </w:pPr>
    </w:p>
    <w:p w:rsidR="007C25F7" w:rsidRPr="009D35D5" w:rsidRDefault="00E70C34" w:rsidP="009D35D5">
      <w:pPr>
        <w:pStyle w:val="ListParagraph"/>
        <w:numPr>
          <w:ilvl w:val="0"/>
          <w:numId w:val="4"/>
        </w:numPr>
        <w:spacing w:line="240" w:lineRule="auto"/>
        <w:rPr>
          <w:rFonts w:ascii="Bookman Old Style" w:hAnsi="Bookman Old Style"/>
          <w:b/>
          <w:sz w:val="24"/>
          <w:szCs w:val="24"/>
          <w:u w:val="single"/>
        </w:rPr>
      </w:pPr>
      <w:r w:rsidRPr="00E70C34">
        <w:rPr>
          <w:rFonts w:ascii="Bookman Old Style" w:hAnsi="Bookman Old Style"/>
          <w:b/>
          <w:sz w:val="24"/>
          <w:szCs w:val="24"/>
        </w:rPr>
        <w:t>Turnkey Properties vs. Lusaka</w:t>
      </w:r>
      <w:r w:rsidRPr="00E70C34">
        <w:rPr>
          <w:rFonts w:ascii="Bookman Old Style" w:hAnsi="Bookman Old Style"/>
          <w:sz w:val="24"/>
          <w:szCs w:val="24"/>
        </w:rPr>
        <w:t xml:space="preserve"> </w:t>
      </w:r>
      <w:r w:rsidRPr="00E70C34">
        <w:rPr>
          <w:rFonts w:ascii="Bookman Old Style" w:hAnsi="Bookman Old Style"/>
          <w:b/>
          <w:sz w:val="24"/>
          <w:szCs w:val="24"/>
        </w:rPr>
        <w:t>West Development Company and Others (1984) Z.R. page 85</w:t>
      </w:r>
    </w:p>
    <w:p w:rsidR="009D35D5" w:rsidRPr="009D35D5" w:rsidRDefault="009D35D5" w:rsidP="009D35D5">
      <w:pPr>
        <w:pStyle w:val="ListParagraph"/>
        <w:rPr>
          <w:rFonts w:ascii="Bookman Old Style" w:hAnsi="Bookman Old Style"/>
          <w:b/>
          <w:sz w:val="24"/>
          <w:szCs w:val="24"/>
          <w:u w:val="single"/>
        </w:rPr>
      </w:pPr>
    </w:p>
    <w:p w:rsidR="009D35D5" w:rsidRPr="009D35D5" w:rsidRDefault="009D35D5" w:rsidP="009D35D5">
      <w:pPr>
        <w:pStyle w:val="ListParagraph"/>
        <w:spacing w:after="0" w:line="240" w:lineRule="auto"/>
        <w:rPr>
          <w:rFonts w:ascii="Bookman Old Style" w:hAnsi="Bookman Old Style"/>
          <w:b/>
          <w:sz w:val="24"/>
          <w:szCs w:val="24"/>
          <w:u w:val="single"/>
        </w:rPr>
      </w:pPr>
    </w:p>
    <w:p w:rsidR="006306BC" w:rsidRDefault="007435F0" w:rsidP="001F3EAC">
      <w:pPr>
        <w:spacing w:line="480" w:lineRule="auto"/>
        <w:ind w:firstLine="720"/>
        <w:jc w:val="both"/>
        <w:rPr>
          <w:rFonts w:ascii="Bookman Old Style" w:hAnsi="Bookman Old Style"/>
          <w:b/>
          <w:sz w:val="28"/>
          <w:szCs w:val="28"/>
        </w:rPr>
      </w:pPr>
      <w:r w:rsidRPr="007435F0">
        <w:rPr>
          <w:rFonts w:ascii="Bookman Old Style" w:hAnsi="Bookman Old Style"/>
          <w:sz w:val="28"/>
          <w:szCs w:val="28"/>
        </w:rPr>
        <w:t>This is the Appellant</w:t>
      </w:r>
      <w:r>
        <w:rPr>
          <w:rFonts w:ascii="Bookman Old Style" w:hAnsi="Bookman Old Style"/>
          <w:sz w:val="28"/>
          <w:szCs w:val="28"/>
        </w:rPr>
        <w:t>s</w:t>
      </w:r>
      <w:r w:rsidRPr="007435F0">
        <w:rPr>
          <w:rFonts w:ascii="Bookman Old Style" w:hAnsi="Bookman Old Style"/>
          <w:sz w:val="28"/>
          <w:szCs w:val="28"/>
        </w:rPr>
        <w:t xml:space="preserve"> application for an Order to stay</w:t>
      </w:r>
      <w:r>
        <w:rPr>
          <w:rFonts w:ascii="Bookman Old Style" w:hAnsi="Bookman Old Style"/>
          <w:sz w:val="28"/>
          <w:szCs w:val="28"/>
        </w:rPr>
        <w:t xml:space="preserve"> the sale of subdivision </w:t>
      </w:r>
      <w:r w:rsidR="008D2C70">
        <w:rPr>
          <w:rFonts w:ascii="Bookman Old Style" w:hAnsi="Bookman Old Style"/>
          <w:sz w:val="28"/>
          <w:szCs w:val="28"/>
        </w:rPr>
        <w:t xml:space="preserve">126 </w:t>
      </w:r>
      <w:r w:rsidR="008D2C70" w:rsidRPr="007435F0">
        <w:rPr>
          <w:rFonts w:ascii="Bookman Old Style" w:hAnsi="Bookman Old Style"/>
          <w:sz w:val="28"/>
          <w:szCs w:val="28"/>
        </w:rPr>
        <w:t>of</w:t>
      </w:r>
      <w:r w:rsidR="00867227">
        <w:rPr>
          <w:rFonts w:ascii="Bookman Old Style" w:hAnsi="Bookman Old Style"/>
          <w:sz w:val="28"/>
          <w:szCs w:val="28"/>
        </w:rPr>
        <w:t xml:space="preserve"> Farm No. 737 </w:t>
      </w:r>
      <w:proofErr w:type="spellStart"/>
      <w:r w:rsidR="00867227">
        <w:rPr>
          <w:rFonts w:ascii="Bookman Old Style" w:hAnsi="Bookman Old Style"/>
          <w:sz w:val="28"/>
          <w:szCs w:val="28"/>
        </w:rPr>
        <w:t>Emmas</w:t>
      </w:r>
      <w:r>
        <w:rPr>
          <w:rFonts w:ascii="Bookman Old Style" w:hAnsi="Bookman Old Style"/>
          <w:sz w:val="28"/>
          <w:szCs w:val="28"/>
        </w:rPr>
        <w:t>dale</w:t>
      </w:r>
      <w:proofErr w:type="spellEnd"/>
      <w:r>
        <w:rPr>
          <w:rFonts w:ascii="Bookman Old Style" w:hAnsi="Bookman Old Style"/>
          <w:sz w:val="28"/>
          <w:szCs w:val="28"/>
        </w:rPr>
        <w:t xml:space="preserve"> of Lusaka pending the determination of the appeal.  The a</w:t>
      </w:r>
      <w:r w:rsidR="008D2C70">
        <w:rPr>
          <w:rFonts w:ascii="Bookman Old Style" w:hAnsi="Bookman Old Style"/>
          <w:sz w:val="28"/>
          <w:szCs w:val="28"/>
        </w:rPr>
        <w:t xml:space="preserve">pplication is made </w:t>
      </w:r>
      <w:r w:rsidR="008D2C70">
        <w:rPr>
          <w:rFonts w:ascii="Bookman Old Style" w:hAnsi="Bookman Old Style"/>
          <w:sz w:val="28"/>
          <w:szCs w:val="28"/>
        </w:rPr>
        <w:lastRenderedPageBreak/>
        <w:t xml:space="preserve">pursuant to </w:t>
      </w:r>
      <w:r w:rsidR="008D2C70" w:rsidRPr="008D2C70">
        <w:rPr>
          <w:rFonts w:ascii="Bookman Old Style" w:hAnsi="Bookman Old Style"/>
          <w:b/>
          <w:sz w:val="28"/>
          <w:szCs w:val="28"/>
        </w:rPr>
        <w:t>R</w:t>
      </w:r>
      <w:r w:rsidRPr="008D2C70">
        <w:rPr>
          <w:rFonts w:ascii="Bookman Old Style" w:hAnsi="Bookman Old Style"/>
          <w:b/>
          <w:sz w:val="28"/>
          <w:szCs w:val="28"/>
        </w:rPr>
        <w:t>ule 4</w:t>
      </w:r>
      <w:r w:rsidR="008D2C70" w:rsidRPr="008D2C70">
        <w:rPr>
          <w:rFonts w:ascii="Bookman Old Style" w:hAnsi="Bookman Old Style"/>
          <w:b/>
          <w:sz w:val="28"/>
          <w:szCs w:val="28"/>
        </w:rPr>
        <w:t>8</w:t>
      </w:r>
      <w:r w:rsidR="000E3782">
        <w:rPr>
          <w:rFonts w:ascii="Bookman Old Style" w:hAnsi="Bookman Old Style"/>
          <w:b/>
          <w:sz w:val="28"/>
          <w:szCs w:val="28"/>
        </w:rPr>
        <w:t>(</w:t>
      </w:r>
      <w:r w:rsidR="008D2C70" w:rsidRPr="008D2C70">
        <w:rPr>
          <w:rFonts w:ascii="Bookman Old Style" w:hAnsi="Bookman Old Style"/>
          <w:b/>
          <w:sz w:val="28"/>
          <w:szCs w:val="28"/>
        </w:rPr>
        <w:t>1</w:t>
      </w:r>
      <w:r w:rsidR="000E3782">
        <w:rPr>
          <w:rFonts w:ascii="Bookman Old Style" w:hAnsi="Bookman Old Style"/>
          <w:b/>
          <w:sz w:val="28"/>
          <w:szCs w:val="28"/>
        </w:rPr>
        <w:t>) as read R</w:t>
      </w:r>
      <w:r w:rsidRPr="008D2C70">
        <w:rPr>
          <w:rFonts w:ascii="Bookman Old Style" w:hAnsi="Bookman Old Style"/>
          <w:b/>
          <w:sz w:val="28"/>
          <w:szCs w:val="28"/>
        </w:rPr>
        <w:t xml:space="preserve">ule 51 </w:t>
      </w:r>
      <w:r w:rsidRPr="000E3782">
        <w:rPr>
          <w:rFonts w:ascii="Bookman Old Style" w:hAnsi="Bookman Old Style"/>
          <w:sz w:val="28"/>
          <w:szCs w:val="28"/>
        </w:rPr>
        <w:t xml:space="preserve">of </w:t>
      </w:r>
      <w:r w:rsidR="000E3782" w:rsidRPr="000E3782">
        <w:rPr>
          <w:rFonts w:ascii="Bookman Old Style" w:hAnsi="Bookman Old Style"/>
          <w:sz w:val="28"/>
          <w:szCs w:val="28"/>
        </w:rPr>
        <w:t>the</w:t>
      </w:r>
      <w:r w:rsidR="000E3782">
        <w:rPr>
          <w:rFonts w:ascii="Bookman Old Style" w:hAnsi="Bookman Old Style"/>
          <w:b/>
          <w:sz w:val="28"/>
          <w:szCs w:val="28"/>
        </w:rPr>
        <w:t xml:space="preserve"> </w:t>
      </w:r>
      <w:r w:rsidRPr="008D2C70">
        <w:rPr>
          <w:rFonts w:ascii="Bookman Old Style" w:hAnsi="Bookman Old Style"/>
          <w:b/>
          <w:sz w:val="28"/>
          <w:szCs w:val="28"/>
        </w:rPr>
        <w:t>Supreme Court Rules unde</w:t>
      </w:r>
      <w:r w:rsidR="006306BC">
        <w:rPr>
          <w:rFonts w:ascii="Bookman Old Style" w:hAnsi="Bookman Old Style"/>
          <w:b/>
          <w:sz w:val="28"/>
          <w:szCs w:val="28"/>
        </w:rPr>
        <w:t xml:space="preserve">r Cap. </w:t>
      </w:r>
      <w:proofErr w:type="gramStart"/>
      <w:r w:rsidR="006306BC">
        <w:rPr>
          <w:rFonts w:ascii="Bookman Old Style" w:hAnsi="Bookman Old Style"/>
          <w:b/>
          <w:sz w:val="28"/>
          <w:szCs w:val="28"/>
        </w:rPr>
        <w:t>25 of the L</w:t>
      </w:r>
      <w:r w:rsidR="00C96E6D">
        <w:rPr>
          <w:rFonts w:ascii="Bookman Old Style" w:hAnsi="Bookman Old Style"/>
          <w:b/>
          <w:sz w:val="28"/>
          <w:szCs w:val="28"/>
        </w:rPr>
        <w:t>aws of Zambia</w:t>
      </w:r>
      <w:r w:rsidRPr="008D2C70">
        <w:rPr>
          <w:rFonts w:ascii="Bookman Old Style" w:hAnsi="Bookman Old Style"/>
          <w:b/>
          <w:sz w:val="28"/>
          <w:szCs w:val="28"/>
        </w:rPr>
        <w:t>.</w:t>
      </w:r>
      <w:proofErr w:type="gramEnd"/>
    </w:p>
    <w:p w:rsidR="006306BC" w:rsidRDefault="006306BC" w:rsidP="006306BC">
      <w:pPr>
        <w:spacing w:line="480" w:lineRule="auto"/>
        <w:ind w:firstLine="720"/>
        <w:jc w:val="both"/>
        <w:rPr>
          <w:rFonts w:ascii="Bookman Old Style" w:hAnsi="Bookman Old Style"/>
          <w:sz w:val="28"/>
          <w:szCs w:val="28"/>
        </w:rPr>
      </w:pPr>
      <w:r>
        <w:rPr>
          <w:rFonts w:ascii="Bookman Old Style" w:hAnsi="Bookman Old Style"/>
          <w:sz w:val="28"/>
          <w:szCs w:val="28"/>
        </w:rPr>
        <w:t>In his affidavit in support the Appellant states that the on 3</w:t>
      </w:r>
      <w:r w:rsidRPr="00AA312D">
        <w:rPr>
          <w:rFonts w:ascii="Bookman Old Style" w:hAnsi="Bookman Old Style"/>
          <w:sz w:val="28"/>
          <w:szCs w:val="28"/>
          <w:vertAlign w:val="superscript"/>
        </w:rPr>
        <w:t>rd</w:t>
      </w:r>
      <w:r>
        <w:rPr>
          <w:rFonts w:ascii="Bookman Old Style" w:hAnsi="Bookman Old Style"/>
          <w:sz w:val="28"/>
          <w:szCs w:val="28"/>
        </w:rPr>
        <w:t xml:space="preserve"> February, 2012 the lower Court dismissed his application to join the High Court proceedings under Cause No. 2010/HPC/127.  The Appellant then filed an appeal to the Supreme Court and also applied for a stay of execution of the Ruling dated 3</w:t>
      </w:r>
      <w:r w:rsidRPr="00AA312D">
        <w:rPr>
          <w:rFonts w:ascii="Bookman Old Style" w:hAnsi="Bookman Old Style"/>
          <w:sz w:val="28"/>
          <w:szCs w:val="28"/>
          <w:vertAlign w:val="superscript"/>
        </w:rPr>
        <w:t>rd</w:t>
      </w:r>
      <w:r>
        <w:rPr>
          <w:rFonts w:ascii="Bookman Old Style" w:hAnsi="Bookman Old Style"/>
          <w:sz w:val="28"/>
          <w:szCs w:val="28"/>
        </w:rPr>
        <w:t xml:space="preserve"> August, 2011 where the lower Court granted the Respondent liberty to exercise its rights under the Lease facility Agreements and the Third Party Mortgage.  His application for a stay pending appeal to the Supreme Court was rejected on the ground that the appeal was unlikely to succeed.  According to the Appellant, the appeal is likely to succeed as Neil Paul </w:t>
      </w:r>
      <w:proofErr w:type="spellStart"/>
      <w:r>
        <w:rPr>
          <w:rFonts w:ascii="Bookman Old Style" w:hAnsi="Bookman Old Style"/>
          <w:sz w:val="28"/>
          <w:szCs w:val="28"/>
        </w:rPr>
        <w:t>Sillitoe</w:t>
      </w:r>
      <w:proofErr w:type="spellEnd"/>
      <w:r>
        <w:rPr>
          <w:rFonts w:ascii="Bookman Old Style" w:hAnsi="Bookman Old Style"/>
          <w:sz w:val="28"/>
          <w:szCs w:val="28"/>
        </w:rPr>
        <w:t xml:space="preserve"> who pledged the disputed property is not the legal owner of the said property as it is still in the name of the late Alexander John </w:t>
      </w:r>
      <w:proofErr w:type="spellStart"/>
      <w:r>
        <w:rPr>
          <w:rFonts w:ascii="Bookman Old Style" w:hAnsi="Bookman Old Style"/>
          <w:sz w:val="28"/>
          <w:szCs w:val="28"/>
        </w:rPr>
        <w:t>Sillitoe</w:t>
      </w:r>
      <w:proofErr w:type="spellEnd"/>
      <w:r>
        <w:rPr>
          <w:rFonts w:ascii="Bookman Old Style" w:hAnsi="Bookman Old Style"/>
          <w:sz w:val="28"/>
          <w:szCs w:val="28"/>
        </w:rPr>
        <w:t xml:space="preserve">.  That the Appellant never gave consent to Neil </w:t>
      </w:r>
      <w:r w:rsidR="00CD255E">
        <w:rPr>
          <w:rFonts w:ascii="Bookman Old Style" w:hAnsi="Bookman Old Style"/>
          <w:sz w:val="28"/>
          <w:szCs w:val="28"/>
        </w:rPr>
        <w:t xml:space="preserve">Paul </w:t>
      </w:r>
      <w:proofErr w:type="spellStart"/>
      <w:r>
        <w:rPr>
          <w:rFonts w:ascii="Bookman Old Style" w:hAnsi="Bookman Old Style"/>
          <w:sz w:val="28"/>
          <w:szCs w:val="28"/>
        </w:rPr>
        <w:t>Sillitoe</w:t>
      </w:r>
      <w:proofErr w:type="spellEnd"/>
      <w:r>
        <w:rPr>
          <w:rFonts w:ascii="Bookman Old Style" w:hAnsi="Bookman Old Style"/>
          <w:sz w:val="28"/>
          <w:szCs w:val="28"/>
        </w:rPr>
        <w:t xml:space="preserve"> to use the property as collateral and </w:t>
      </w:r>
      <w:r w:rsidR="00CD255E">
        <w:rPr>
          <w:rFonts w:ascii="Bookman Old Style" w:hAnsi="Bookman Old Style"/>
          <w:sz w:val="28"/>
          <w:szCs w:val="28"/>
        </w:rPr>
        <w:t xml:space="preserve">the </w:t>
      </w:r>
      <w:r>
        <w:rPr>
          <w:rFonts w:ascii="Bookman Old Style" w:hAnsi="Bookman Old Style"/>
          <w:sz w:val="28"/>
          <w:szCs w:val="28"/>
        </w:rPr>
        <w:t>title deed has always been in his possession.  That the 1</w:t>
      </w:r>
      <w:r w:rsidRPr="00AA312D">
        <w:rPr>
          <w:rFonts w:ascii="Bookman Old Style" w:hAnsi="Bookman Old Style"/>
          <w:sz w:val="28"/>
          <w:szCs w:val="28"/>
          <w:vertAlign w:val="superscript"/>
        </w:rPr>
        <w:t>st</w:t>
      </w:r>
      <w:r>
        <w:rPr>
          <w:rFonts w:ascii="Bookman Old Style" w:hAnsi="Bookman Old Style"/>
          <w:sz w:val="28"/>
          <w:szCs w:val="28"/>
        </w:rPr>
        <w:t xml:space="preserve"> Respondent intends to sell the property in order to recover moneys advanced to the 2</w:t>
      </w:r>
      <w:r w:rsidRPr="00AA312D">
        <w:rPr>
          <w:rFonts w:ascii="Bookman Old Style" w:hAnsi="Bookman Old Style"/>
          <w:sz w:val="28"/>
          <w:szCs w:val="28"/>
          <w:vertAlign w:val="superscript"/>
        </w:rPr>
        <w:t>nd</w:t>
      </w:r>
      <w:r>
        <w:rPr>
          <w:rFonts w:ascii="Bookman Old Style" w:hAnsi="Bookman Old Style"/>
          <w:sz w:val="28"/>
          <w:szCs w:val="28"/>
        </w:rPr>
        <w:t xml:space="preserve"> Respondent when the deceased was </w:t>
      </w:r>
      <w:proofErr w:type="gramStart"/>
      <w:r>
        <w:rPr>
          <w:rFonts w:ascii="Bookman Old Style" w:hAnsi="Bookman Old Style"/>
          <w:sz w:val="28"/>
          <w:szCs w:val="28"/>
        </w:rPr>
        <w:t>neither a shareholder or</w:t>
      </w:r>
      <w:proofErr w:type="gramEnd"/>
      <w:r>
        <w:rPr>
          <w:rFonts w:ascii="Bookman Old Style" w:hAnsi="Bookman Old Style"/>
          <w:sz w:val="28"/>
          <w:szCs w:val="28"/>
        </w:rPr>
        <w:t xml:space="preserve"> Director, in the 2</w:t>
      </w:r>
      <w:r w:rsidRPr="00CE0C20">
        <w:rPr>
          <w:rFonts w:ascii="Bookman Old Style" w:hAnsi="Bookman Old Style"/>
          <w:sz w:val="28"/>
          <w:szCs w:val="28"/>
          <w:vertAlign w:val="superscript"/>
        </w:rPr>
        <w:t>nd</w:t>
      </w:r>
      <w:r>
        <w:rPr>
          <w:rFonts w:ascii="Bookman Old Style" w:hAnsi="Bookman Old Style"/>
          <w:sz w:val="28"/>
          <w:szCs w:val="28"/>
        </w:rPr>
        <w:t xml:space="preserve"> Respondent</w:t>
      </w:r>
      <w:r w:rsidR="00CD255E">
        <w:rPr>
          <w:rFonts w:ascii="Bookman Old Style" w:hAnsi="Bookman Old Style"/>
          <w:sz w:val="28"/>
          <w:szCs w:val="28"/>
        </w:rPr>
        <w:t xml:space="preserve"> Company</w:t>
      </w:r>
      <w:r>
        <w:rPr>
          <w:rFonts w:ascii="Bookman Old Style" w:hAnsi="Bookman Old Style"/>
          <w:sz w:val="28"/>
          <w:szCs w:val="28"/>
        </w:rPr>
        <w:t xml:space="preserve">.  That the sale should </w:t>
      </w:r>
      <w:r>
        <w:rPr>
          <w:rFonts w:ascii="Bookman Old Style" w:hAnsi="Bookman Old Style"/>
          <w:sz w:val="28"/>
          <w:szCs w:val="28"/>
        </w:rPr>
        <w:lastRenderedPageBreak/>
        <w:t>be stayed in order to pre</w:t>
      </w:r>
      <w:r w:rsidR="005C260C">
        <w:rPr>
          <w:rFonts w:ascii="Bookman Old Style" w:hAnsi="Bookman Old Style"/>
          <w:sz w:val="28"/>
          <w:szCs w:val="28"/>
        </w:rPr>
        <w:t>v</w:t>
      </w:r>
      <w:r>
        <w:rPr>
          <w:rFonts w:ascii="Bookman Old Style" w:hAnsi="Bookman Old Style"/>
          <w:sz w:val="28"/>
          <w:szCs w:val="28"/>
        </w:rPr>
        <w:t>ent the deceased’s estate from diminishing and that this is the major asset owned by the estate.</w:t>
      </w:r>
    </w:p>
    <w:p w:rsidR="007435F0" w:rsidRPr="006306BC" w:rsidRDefault="006306BC" w:rsidP="006306B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affidavit in opposition sworn by </w:t>
      </w:r>
      <w:proofErr w:type="spellStart"/>
      <w:r>
        <w:rPr>
          <w:rFonts w:ascii="Bookman Old Style" w:hAnsi="Bookman Old Style"/>
          <w:sz w:val="28"/>
          <w:szCs w:val="28"/>
        </w:rPr>
        <w:t>Mazuba</w:t>
      </w:r>
      <w:proofErr w:type="spellEnd"/>
      <w:r>
        <w:rPr>
          <w:rFonts w:ascii="Bookman Old Style" w:hAnsi="Bookman Old Style"/>
          <w:sz w:val="28"/>
          <w:szCs w:val="28"/>
        </w:rPr>
        <w:t xml:space="preserve"> </w:t>
      </w:r>
      <w:proofErr w:type="spellStart"/>
      <w:r>
        <w:rPr>
          <w:rFonts w:ascii="Bookman Old Style" w:hAnsi="Bookman Old Style"/>
          <w:sz w:val="28"/>
          <w:szCs w:val="28"/>
        </w:rPr>
        <w:t>Mooya</w:t>
      </w:r>
      <w:proofErr w:type="spellEnd"/>
      <w:r>
        <w:rPr>
          <w:rFonts w:ascii="Bookman Old Style" w:hAnsi="Bookman Old Style"/>
          <w:sz w:val="28"/>
          <w:szCs w:val="28"/>
        </w:rPr>
        <w:t xml:space="preserve"> states inter, alia, that the Court below dismissed the Appellant’s applications on the ground that the appeal was unlikely to succeed.  That the 2</w:t>
      </w:r>
      <w:r w:rsidRPr="00AA312D">
        <w:rPr>
          <w:rFonts w:ascii="Bookman Old Style" w:hAnsi="Bookman Old Style"/>
          <w:sz w:val="28"/>
          <w:szCs w:val="28"/>
          <w:vertAlign w:val="superscript"/>
        </w:rPr>
        <w:t>nd</w:t>
      </w:r>
      <w:r>
        <w:rPr>
          <w:rFonts w:ascii="Bookman Old Style" w:hAnsi="Bookman Old Style"/>
          <w:sz w:val="28"/>
          <w:szCs w:val="28"/>
        </w:rPr>
        <w:t xml:space="preserve"> Respondent through its Director Neil Paul </w:t>
      </w:r>
      <w:proofErr w:type="spellStart"/>
      <w:r>
        <w:rPr>
          <w:rFonts w:ascii="Bookman Old Style" w:hAnsi="Bookman Old Style"/>
          <w:sz w:val="28"/>
          <w:szCs w:val="28"/>
        </w:rPr>
        <w:t>Sillitoe</w:t>
      </w:r>
      <w:proofErr w:type="spellEnd"/>
      <w:r>
        <w:rPr>
          <w:rFonts w:ascii="Bookman Old Style" w:hAnsi="Bookman Old Style"/>
          <w:sz w:val="28"/>
          <w:szCs w:val="28"/>
        </w:rPr>
        <w:t xml:space="preserve"> pledged the property in issue as further security and the 1</w:t>
      </w:r>
      <w:r w:rsidRPr="004510E4">
        <w:rPr>
          <w:rFonts w:ascii="Bookman Old Style" w:hAnsi="Bookman Old Style"/>
          <w:sz w:val="28"/>
          <w:szCs w:val="28"/>
          <w:vertAlign w:val="superscript"/>
        </w:rPr>
        <w:t>st</w:t>
      </w:r>
      <w:r>
        <w:rPr>
          <w:rFonts w:ascii="Bookman Old Style" w:hAnsi="Bookman Old Style"/>
          <w:sz w:val="28"/>
          <w:szCs w:val="28"/>
        </w:rPr>
        <w:t xml:space="preserve"> Respondent prepared a mortgage deed but same could </w:t>
      </w:r>
      <w:r w:rsidR="005C260C">
        <w:rPr>
          <w:rFonts w:ascii="Bookman Old Style" w:hAnsi="Bookman Old Style"/>
          <w:sz w:val="28"/>
          <w:szCs w:val="28"/>
        </w:rPr>
        <w:t xml:space="preserve">not </w:t>
      </w:r>
      <w:r>
        <w:rPr>
          <w:rFonts w:ascii="Bookman Old Style" w:hAnsi="Bookman Old Style"/>
          <w:sz w:val="28"/>
          <w:szCs w:val="28"/>
        </w:rPr>
        <w:t xml:space="preserve">be registered as the subdivision of the property was not complete.  </w:t>
      </w:r>
      <w:r w:rsidR="005C260C">
        <w:rPr>
          <w:rFonts w:ascii="Bookman Old Style" w:hAnsi="Bookman Old Style"/>
          <w:sz w:val="28"/>
          <w:szCs w:val="28"/>
        </w:rPr>
        <w:t>The subdivision was being under</w:t>
      </w:r>
      <w:r>
        <w:rPr>
          <w:rFonts w:ascii="Bookman Old Style" w:hAnsi="Bookman Old Style"/>
          <w:sz w:val="28"/>
          <w:szCs w:val="28"/>
        </w:rPr>
        <w:t xml:space="preserve">taken by AKM Legal Practitioners on instructions from Neil Paul </w:t>
      </w:r>
      <w:proofErr w:type="spellStart"/>
      <w:r>
        <w:rPr>
          <w:rFonts w:ascii="Bookman Old Style" w:hAnsi="Bookman Old Style"/>
          <w:sz w:val="28"/>
          <w:szCs w:val="28"/>
        </w:rPr>
        <w:t>Sillitoe</w:t>
      </w:r>
      <w:proofErr w:type="spellEnd"/>
      <w:r>
        <w:rPr>
          <w:rFonts w:ascii="Bookman Old Style" w:hAnsi="Bookman Old Style"/>
          <w:sz w:val="28"/>
          <w:szCs w:val="28"/>
        </w:rPr>
        <w:t xml:space="preserve"> and that the 1</w:t>
      </w:r>
      <w:r w:rsidRPr="004510E4">
        <w:rPr>
          <w:rFonts w:ascii="Bookman Old Style" w:hAnsi="Bookman Old Style"/>
          <w:sz w:val="28"/>
          <w:szCs w:val="28"/>
          <w:vertAlign w:val="superscript"/>
        </w:rPr>
        <w:t>st</w:t>
      </w:r>
      <w:r>
        <w:rPr>
          <w:rFonts w:ascii="Bookman Old Style" w:hAnsi="Bookman Old Style"/>
          <w:sz w:val="28"/>
          <w:szCs w:val="28"/>
        </w:rPr>
        <w:t xml:space="preserve"> Respondent has over the years been following up on the subdivision with the said legal firm.  That the 1</w:t>
      </w:r>
      <w:r w:rsidRPr="004510E4">
        <w:rPr>
          <w:rFonts w:ascii="Bookman Old Style" w:hAnsi="Bookman Old Style"/>
          <w:sz w:val="28"/>
          <w:szCs w:val="28"/>
          <w:vertAlign w:val="superscript"/>
        </w:rPr>
        <w:t>st</w:t>
      </w:r>
      <w:r>
        <w:rPr>
          <w:rFonts w:ascii="Bookman Old Style" w:hAnsi="Bookman Old Style"/>
          <w:sz w:val="28"/>
          <w:szCs w:val="28"/>
        </w:rPr>
        <w:t xml:space="preserve"> Respondent has been a mortgagee of the said property with rights over it.  That if the application is </w:t>
      </w:r>
      <w:proofErr w:type="gramStart"/>
      <w:r>
        <w:rPr>
          <w:rFonts w:ascii="Bookman Old Style" w:hAnsi="Bookman Old Style"/>
          <w:sz w:val="28"/>
          <w:szCs w:val="28"/>
        </w:rPr>
        <w:t>granted  the</w:t>
      </w:r>
      <w:proofErr w:type="gramEnd"/>
      <w:r>
        <w:rPr>
          <w:rFonts w:ascii="Bookman Old Style" w:hAnsi="Bookman Old Style"/>
          <w:sz w:val="28"/>
          <w:szCs w:val="28"/>
        </w:rPr>
        <w:t xml:space="preserve"> 1</w:t>
      </w:r>
      <w:r w:rsidRPr="004510E4">
        <w:rPr>
          <w:rFonts w:ascii="Bookman Old Style" w:hAnsi="Bookman Old Style"/>
          <w:sz w:val="28"/>
          <w:szCs w:val="28"/>
          <w:vertAlign w:val="superscript"/>
        </w:rPr>
        <w:t>st</w:t>
      </w:r>
      <w:r>
        <w:rPr>
          <w:rFonts w:ascii="Bookman Old Style" w:hAnsi="Bookman Old Style"/>
          <w:sz w:val="28"/>
          <w:szCs w:val="28"/>
        </w:rPr>
        <w:t xml:space="preserve"> Respondent will suffer irreparable damage as it will have no other means of recovering its money and yet the Appellant will get the property back once its subdivided.  </w:t>
      </w:r>
      <w:proofErr w:type="gramStart"/>
      <w:r>
        <w:rPr>
          <w:rFonts w:ascii="Bookman Old Style" w:hAnsi="Bookman Old Style"/>
          <w:sz w:val="28"/>
          <w:szCs w:val="28"/>
        </w:rPr>
        <w:t>That this application should be dismissed in the interest of equity, justice and fairness.</w:t>
      </w:r>
      <w:proofErr w:type="gramEnd"/>
      <w:r w:rsidR="007435F0" w:rsidRPr="008D2C70">
        <w:rPr>
          <w:rFonts w:ascii="Bookman Old Style" w:hAnsi="Bookman Old Style"/>
          <w:b/>
          <w:sz w:val="28"/>
          <w:szCs w:val="28"/>
        </w:rPr>
        <w:t xml:space="preserve">  </w:t>
      </w:r>
    </w:p>
    <w:p w:rsidR="005C260C" w:rsidRDefault="007435F0" w:rsidP="001F3EAC">
      <w:pPr>
        <w:spacing w:line="480" w:lineRule="auto"/>
        <w:ind w:firstLine="720"/>
        <w:jc w:val="both"/>
        <w:rPr>
          <w:rFonts w:ascii="Bookman Old Style" w:hAnsi="Bookman Old Style"/>
          <w:sz w:val="28"/>
          <w:szCs w:val="28"/>
        </w:rPr>
      </w:pPr>
      <w:r>
        <w:rPr>
          <w:rFonts w:ascii="Bookman Old Style" w:hAnsi="Bookman Old Style"/>
          <w:sz w:val="28"/>
          <w:szCs w:val="28"/>
        </w:rPr>
        <w:t>Mr</w:t>
      </w:r>
      <w:r w:rsidR="00005AA5">
        <w:rPr>
          <w:rFonts w:ascii="Bookman Old Style" w:hAnsi="Bookman Old Style"/>
          <w:sz w:val="28"/>
          <w:szCs w:val="28"/>
        </w:rPr>
        <w:t xml:space="preserve">. </w:t>
      </w:r>
      <w:proofErr w:type="spellStart"/>
      <w:r>
        <w:rPr>
          <w:rFonts w:ascii="Bookman Old Style" w:hAnsi="Bookman Old Style"/>
          <w:sz w:val="28"/>
          <w:szCs w:val="28"/>
        </w:rPr>
        <w:t>Mainza</w:t>
      </w:r>
      <w:proofErr w:type="spellEnd"/>
      <w:r w:rsidR="005C260C">
        <w:rPr>
          <w:rFonts w:ascii="Bookman Old Style" w:hAnsi="Bookman Old Style"/>
          <w:sz w:val="28"/>
          <w:szCs w:val="28"/>
        </w:rPr>
        <w:t>,</w:t>
      </w:r>
      <w:r w:rsidR="000E3782">
        <w:rPr>
          <w:rFonts w:ascii="Bookman Old Style" w:hAnsi="Bookman Old Style"/>
          <w:sz w:val="28"/>
          <w:szCs w:val="28"/>
        </w:rPr>
        <w:t xml:space="preserve"> C</w:t>
      </w:r>
      <w:r>
        <w:rPr>
          <w:rFonts w:ascii="Bookman Old Style" w:hAnsi="Bookman Old Style"/>
          <w:sz w:val="28"/>
          <w:szCs w:val="28"/>
        </w:rPr>
        <w:t xml:space="preserve">ounsel for the Appellants submitted that he was relying on the affidavit in support </w:t>
      </w:r>
      <w:r w:rsidR="000E3782">
        <w:rPr>
          <w:rFonts w:ascii="Bookman Old Style" w:hAnsi="Bookman Old Style"/>
          <w:sz w:val="28"/>
          <w:szCs w:val="28"/>
        </w:rPr>
        <w:t>filed herein</w:t>
      </w:r>
      <w:r>
        <w:rPr>
          <w:rFonts w:ascii="Bookman Old Style" w:hAnsi="Bookman Old Style"/>
          <w:sz w:val="28"/>
          <w:szCs w:val="28"/>
        </w:rPr>
        <w:t xml:space="preserve">.  He submitted </w:t>
      </w:r>
      <w:r>
        <w:rPr>
          <w:rFonts w:ascii="Bookman Old Style" w:hAnsi="Bookman Old Style"/>
          <w:sz w:val="28"/>
          <w:szCs w:val="28"/>
        </w:rPr>
        <w:lastRenderedPageBreak/>
        <w:t>that the gist of the application is that the Appellant has appeal</w:t>
      </w:r>
      <w:r w:rsidR="008D2C70">
        <w:rPr>
          <w:rFonts w:ascii="Bookman Old Style" w:hAnsi="Bookman Old Style"/>
          <w:sz w:val="28"/>
          <w:szCs w:val="28"/>
        </w:rPr>
        <w:t>ed</w:t>
      </w:r>
      <w:r>
        <w:rPr>
          <w:rFonts w:ascii="Bookman Old Style" w:hAnsi="Bookman Old Style"/>
          <w:sz w:val="28"/>
          <w:szCs w:val="28"/>
        </w:rPr>
        <w:t xml:space="preserve"> </w:t>
      </w:r>
      <w:r w:rsidR="000E3782">
        <w:rPr>
          <w:rFonts w:ascii="Bookman Old Style" w:hAnsi="Bookman Old Style"/>
          <w:sz w:val="28"/>
          <w:szCs w:val="28"/>
        </w:rPr>
        <w:t xml:space="preserve">against </w:t>
      </w:r>
      <w:r>
        <w:rPr>
          <w:rFonts w:ascii="Bookman Old Style" w:hAnsi="Bookman Old Style"/>
          <w:sz w:val="28"/>
          <w:szCs w:val="28"/>
        </w:rPr>
        <w:t>the decision of the lower Court granting the 1</w:t>
      </w:r>
      <w:r w:rsidRPr="007435F0">
        <w:rPr>
          <w:rFonts w:ascii="Bookman Old Style" w:hAnsi="Bookman Old Style"/>
          <w:sz w:val="28"/>
          <w:szCs w:val="28"/>
          <w:vertAlign w:val="superscript"/>
        </w:rPr>
        <w:t>st</w:t>
      </w:r>
      <w:r w:rsidR="00867227">
        <w:rPr>
          <w:rFonts w:ascii="Bookman Old Style" w:hAnsi="Bookman Old Style"/>
          <w:sz w:val="28"/>
          <w:szCs w:val="28"/>
        </w:rPr>
        <w:t xml:space="preserve"> Respondent leave to dis</w:t>
      </w:r>
      <w:r>
        <w:rPr>
          <w:rFonts w:ascii="Bookman Old Style" w:hAnsi="Bookman Old Style"/>
          <w:sz w:val="28"/>
          <w:szCs w:val="28"/>
        </w:rPr>
        <w:t xml:space="preserve">pose of the property in question at </w:t>
      </w:r>
      <w:r w:rsidR="000E3782">
        <w:rPr>
          <w:rFonts w:ascii="Bookman Old Style" w:hAnsi="Bookman Old Style"/>
          <w:sz w:val="28"/>
          <w:szCs w:val="28"/>
        </w:rPr>
        <w:t xml:space="preserve">a </w:t>
      </w:r>
      <w:r>
        <w:rPr>
          <w:rFonts w:ascii="Bookman Old Style" w:hAnsi="Bookman Old Style"/>
          <w:sz w:val="28"/>
          <w:szCs w:val="28"/>
        </w:rPr>
        <w:t>stage when the matter was coming up for hearing of the inter</w:t>
      </w:r>
      <w:r w:rsidR="009740E7">
        <w:rPr>
          <w:rFonts w:ascii="Bookman Old Style" w:hAnsi="Bookman Old Style"/>
          <w:sz w:val="28"/>
          <w:szCs w:val="28"/>
        </w:rPr>
        <w:t>locutory</w:t>
      </w:r>
      <w:r>
        <w:rPr>
          <w:rFonts w:ascii="Bookman Old Style" w:hAnsi="Bookman Old Style"/>
          <w:sz w:val="28"/>
          <w:szCs w:val="28"/>
        </w:rPr>
        <w:t xml:space="preserve">     application for an </w:t>
      </w:r>
      <w:r w:rsidR="000E3782">
        <w:rPr>
          <w:rFonts w:ascii="Bookman Old Style" w:hAnsi="Bookman Old Style"/>
          <w:sz w:val="28"/>
          <w:szCs w:val="28"/>
        </w:rPr>
        <w:t>injunction.  That the Appellant</w:t>
      </w:r>
      <w:r w:rsidR="000C0EB0">
        <w:rPr>
          <w:rFonts w:ascii="Bookman Old Style" w:hAnsi="Bookman Old Style"/>
          <w:sz w:val="28"/>
          <w:szCs w:val="28"/>
        </w:rPr>
        <w:t xml:space="preserve"> is the administrator of the estate of the deceased who owned the property in issue and that he was denied leave to join the proceedings by the Court below despite having demonstrated that he has an interest in</w:t>
      </w:r>
      <w:r w:rsidR="000E3782">
        <w:rPr>
          <w:rFonts w:ascii="Bookman Old Style" w:hAnsi="Bookman Old Style"/>
          <w:sz w:val="28"/>
          <w:szCs w:val="28"/>
        </w:rPr>
        <w:t xml:space="preserve"> the property in question by </w:t>
      </w:r>
      <w:r w:rsidR="005C260C">
        <w:rPr>
          <w:rFonts w:ascii="Bookman Old Style" w:hAnsi="Bookman Old Style"/>
          <w:sz w:val="28"/>
          <w:szCs w:val="28"/>
        </w:rPr>
        <w:t>virtue</w:t>
      </w:r>
      <w:r w:rsidR="000C0EB0">
        <w:rPr>
          <w:rFonts w:ascii="Bookman Old Style" w:hAnsi="Bookman Old Style"/>
          <w:sz w:val="28"/>
          <w:szCs w:val="28"/>
        </w:rPr>
        <w:t xml:space="preserve"> of being an administrator.</w:t>
      </w:r>
      <w:r w:rsidR="004F62E5">
        <w:rPr>
          <w:rFonts w:ascii="Bookman Old Style" w:hAnsi="Bookman Old Style"/>
          <w:sz w:val="28"/>
          <w:szCs w:val="28"/>
        </w:rPr>
        <w:t xml:space="preserve"> </w:t>
      </w:r>
      <w:r w:rsidR="000C0EB0">
        <w:rPr>
          <w:rFonts w:ascii="Bookman Old Style" w:hAnsi="Bookman Old Style"/>
          <w:sz w:val="28"/>
          <w:szCs w:val="28"/>
        </w:rPr>
        <w:t xml:space="preserve">He submitted that </w:t>
      </w:r>
      <w:r w:rsidR="004F62E5">
        <w:rPr>
          <w:rFonts w:ascii="Bookman Old Style" w:hAnsi="Bookman Old Style"/>
          <w:sz w:val="28"/>
          <w:szCs w:val="28"/>
        </w:rPr>
        <w:t>in the event that the 1</w:t>
      </w:r>
      <w:r w:rsidR="004F62E5" w:rsidRPr="004F62E5">
        <w:rPr>
          <w:rFonts w:ascii="Bookman Old Style" w:hAnsi="Bookman Old Style"/>
          <w:sz w:val="28"/>
          <w:szCs w:val="28"/>
          <w:vertAlign w:val="superscript"/>
        </w:rPr>
        <w:t>st</w:t>
      </w:r>
      <w:r w:rsidR="004F62E5">
        <w:rPr>
          <w:rFonts w:ascii="Bookman Old Style" w:hAnsi="Bookman Old Style"/>
          <w:sz w:val="28"/>
          <w:szCs w:val="28"/>
        </w:rPr>
        <w:t xml:space="preserve"> Respondent proceeds with the sale of the prop</w:t>
      </w:r>
      <w:r w:rsidR="000E3782">
        <w:rPr>
          <w:rFonts w:ascii="Bookman Old Style" w:hAnsi="Bookman Old Style"/>
          <w:sz w:val="28"/>
          <w:szCs w:val="28"/>
        </w:rPr>
        <w:t>erty before the appeal is heard, the</w:t>
      </w:r>
      <w:r w:rsidR="004F62E5">
        <w:rPr>
          <w:rFonts w:ascii="Bookman Old Style" w:hAnsi="Bookman Old Style"/>
          <w:sz w:val="28"/>
          <w:szCs w:val="28"/>
        </w:rPr>
        <w:t xml:space="preserve"> estate</w:t>
      </w:r>
      <w:r w:rsidR="000E3782">
        <w:rPr>
          <w:rFonts w:ascii="Bookman Old Style" w:hAnsi="Bookman Old Style"/>
          <w:sz w:val="28"/>
          <w:szCs w:val="28"/>
        </w:rPr>
        <w:t xml:space="preserve"> </w:t>
      </w:r>
      <w:r w:rsidR="004F62E5">
        <w:rPr>
          <w:rFonts w:ascii="Bookman Old Style" w:hAnsi="Bookman Old Style"/>
          <w:sz w:val="28"/>
          <w:szCs w:val="28"/>
        </w:rPr>
        <w:t xml:space="preserve">of the late Alexander </w:t>
      </w:r>
      <w:r w:rsidR="00DA3A48">
        <w:rPr>
          <w:rFonts w:ascii="Bookman Old Style" w:hAnsi="Bookman Old Style"/>
          <w:sz w:val="28"/>
          <w:szCs w:val="28"/>
        </w:rPr>
        <w:t xml:space="preserve">John </w:t>
      </w:r>
      <w:proofErr w:type="spellStart"/>
      <w:r w:rsidR="004F62E5">
        <w:rPr>
          <w:rFonts w:ascii="Bookman Old Style" w:hAnsi="Bookman Old Style"/>
          <w:sz w:val="28"/>
          <w:szCs w:val="28"/>
        </w:rPr>
        <w:t>Sil</w:t>
      </w:r>
      <w:r w:rsidR="00B67814">
        <w:rPr>
          <w:rFonts w:ascii="Bookman Old Style" w:hAnsi="Bookman Old Style"/>
          <w:sz w:val="28"/>
          <w:szCs w:val="28"/>
        </w:rPr>
        <w:t>l</w:t>
      </w:r>
      <w:r w:rsidR="004F62E5">
        <w:rPr>
          <w:rFonts w:ascii="Bookman Old Style" w:hAnsi="Bookman Old Style"/>
          <w:sz w:val="28"/>
          <w:szCs w:val="28"/>
        </w:rPr>
        <w:t>ito</w:t>
      </w:r>
      <w:r w:rsidR="00B67814">
        <w:rPr>
          <w:rFonts w:ascii="Bookman Old Style" w:hAnsi="Bookman Old Style"/>
          <w:sz w:val="28"/>
          <w:szCs w:val="28"/>
        </w:rPr>
        <w:t>e</w:t>
      </w:r>
      <w:proofErr w:type="spellEnd"/>
      <w:r w:rsidR="004F62E5">
        <w:rPr>
          <w:rFonts w:ascii="Bookman Old Style" w:hAnsi="Bookman Old Style"/>
          <w:sz w:val="28"/>
          <w:szCs w:val="28"/>
        </w:rPr>
        <w:t xml:space="preserve"> which comprises of the property in question will suffer irreparable injury</w:t>
      </w:r>
      <w:r w:rsidR="004D2F01">
        <w:rPr>
          <w:rFonts w:ascii="Bookman Old Style" w:hAnsi="Bookman Old Style"/>
          <w:sz w:val="28"/>
          <w:szCs w:val="28"/>
        </w:rPr>
        <w:t xml:space="preserve"> as the </w:t>
      </w:r>
      <w:r w:rsidR="00005AA5">
        <w:rPr>
          <w:rFonts w:ascii="Bookman Old Style" w:hAnsi="Bookman Old Style"/>
          <w:sz w:val="28"/>
          <w:szCs w:val="28"/>
        </w:rPr>
        <w:t>said estate</w:t>
      </w:r>
      <w:r w:rsidR="004D2F01">
        <w:rPr>
          <w:rFonts w:ascii="Bookman Old Style" w:hAnsi="Bookman Old Style"/>
          <w:sz w:val="28"/>
          <w:szCs w:val="28"/>
        </w:rPr>
        <w:t xml:space="preserve"> will be diminished a</w:t>
      </w:r>
      <w:r w:rsidR="004F62E5">
        <w:rPr>
          <w:rFonts w:ascii="Bookman Old Style" w:hAnsi="Bookman Old Style"/>
          <w:sz w:val="28"/>
          <w:szCs w:val="28"/>
        </w:rPr>
        <w:t xml:space="preserve">nd </w:t>
      </w:r>
      <w:r w:rsidR="004D2F01">
        <w:rPr>
          <w:rFonts w:ascii="Bookman Old Style" w:hAnsi="Bookman Old Style"/>
          <w:sz w:val="28"/>
          <w:szCs w:val="28"/>
        </w:rPr>
        <w:t xml:space="preserve">the </w:t>
      </w:r>
      <w:proofErr w:type="gramStart"/>
      <w:r w:rsidR="009166FC">
        <w:rPr>
          <w:rFonts w:ascii="Bookman Old Style" w:hAnsi="Bookman Old Style"/>
          <w:sz w:val="28"/>
          <w:szCs w:val="28"/>
        </w:rPr>
        <w:t xml:space="preserve">beneficiaries </w:t>
      </w:r>
      <w:r w:rsidR="004D2F01">
        <w:rPr>
          <w:rFonts w:ascii="Bookman Old Style" w:hAnsi="Bookman Old Style"/>
          <w:sz w:val="28"/>
          <w:szCs w:val="28"/>
        </w:rPr>
        <w:t xml:space="preserve"> will</w:t>
      </w:r>
      <w:proofErr w:type="gramEnd"/>
      <w:r w:rsidR="005C260C">
        <w:rPr>
          <w:rFonts w:ascii="Bookman Old Style" w:hAnsi="Bookman Old Style"/>
          <w:sz w:val="28"/>
          <w:szCs w:val="28"/>
        </w:rPr>
        <w:t xml:space="preserve"> be deprived of the said estate</w:t>
      </w:r>
      <w:r w:rsidR="000E3782">
        <w:rPr>
          <w:rFonts w:ascii="Bookman Old Style" w:hAnsi="Bookman Old Style"/>
          <w:sz w:val="28"/>
          <w:szCs w:val="28"/>
        </w:rPr>
        <w:t xml:space="preserve">.  </w:t>
      </w:r>
      <w:r w:rsidR="005C260C">
        <w:rPr>
          <w:rFonts w:ascii="Bookman Old Style" w:hAnsi="Bookman Old Style"/>
          <w:sz w:val="28"/>
          <w:szCs w:val="28"/>
        </w:rPr>
        <w:t xml:space="preserve">Mr. </w:t>
      </w:r>
      <w:proofErr w:type="spellStart"/>
      <w:r w:rsidR="005C260C">
        <w:rPr>
          <w:rFonts w:ascii="Bookman Old Style" w:hAnsi="Bookman Old Style"/>
          <w:sz w:val="28"/>
          <w:szCs w:val="28"/>
        </w:rPr>
        <w:t>Mainza</w:t>
      </w:r>
      <w:proofErr w:type="spellEnd"/>
      <w:r w:rsidR="005C260C">
        <w:rPr>
          <w:rFonts w:ascii="Bookman Old Style" w:hAnsi="Bookman Old Style"/>
          <w:sz w:val="28"/>
          <w:szCs w:val="28"/>
        </w:rPr>
        <w:t xml:space="preserve"> stated that he is alive to the holding in </w:t>
      </w:r>
      <w:r w:rsidR="005C260C">
        <w:rPr>
          <w:rFonts w:ascii="Bookman Old Style" w:hAnsi="Bookman Old Style"/>
          <w:b/>
          <w:sz w:val="28"/>
          <w:szCs w:val="28"/>
        </w:rPr>
        <w:t xml:space="preserve">Sonny Paul </w:t>
      </w:r>
      <w:proofErr w:type="spellStart"/>
      <w:r w:rsidR="005C260C">
        <w:rPr>
          <w:rFonts w:ascii="Bookman Old Style" w:hAnsi="Bookman Old Style"/>
          <w:b/>
          <w:sz w:val="28"/>
          <w:szCs w:val="28"/>
        </w:rPr>
        <w:t>Mulenga</w:t>
      </w:r>
      <w:proofErr w:type="spellEnd"/>
      <w:r w:rsidR="005C260C">
        <w:rPr>
          <w:rFonts w:ascii="Bookman Old Style" w:hAnsi="Bookman Old Style"/>
          <w:b/>
          <w:sz w:val="28"/>
          <w:szCs w:val="28"/>
        </w:rPr>
        <w:t xml:space="preserve"> and Others vs. </w:t>
      </w:r>
      <w:proofErr w:type="spellStart"/>
      <w:r w:rsidR="005C260C">
        <w:rPr>
          <w:rFonts w:ascii="Bookman Old Style" w:hAnsi="Bookman Old Style"/>
          <w:b/>
          <w:sz w:val="28"/>
          <w:szCs w:val="28"/>
        </w:rPr>
        <w:t>Investrust</w:t>
      </w:r>
      <w:proofErr w:type="spellEnd"/>
      <w:r w:rsidR="005C260C">
        <w:rPr>
          <w:rFonts w:ascii="Bookman Old Style" w:hAnsi="Bookman Old Style"/>
          <w:b/>
          <w:sz w:val="28"/>
          <w:szCs w:val="28"/>
        </w:rPr>
        <w:t xml:space="preserve"> Merchant Bank Limited¹.  </w:t>
      </w:r>
      <w:r w:rsidR="005C260C">
        <w:rPr>
          <w:rFonts w:ascii="Bookman Old Style" w:hAnsi="Bookman Old Style"/>
          <w:sz w:val="28"/>
          <w:szCs w:val="28"/>
        </w:rPr>
        <w:t>Counsel submitted that the Appellant has demonstrated in his affidavit that it is necessary and desirable to stay the sale of the property in question pending the determination of appeal.</w:t>
      </w:r>
    </w:p>
    <w:p w:rsidR="004D2F01" w:rsidRDefault="004D2F01" w:rsidP="001F3EA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Counsel further argued that the ruling of the lower Court which authorise</w:t>
      </w:r>
      <w:r w:rsidR="003B4F51">
        <w:rPr>
          <w:rFonts w:ascii="Bookman Old Style" w:hAnsi="Bookman Old Style"/>
          <w:sz w:val="28"/>
          <w:szCs w:val="28"/>
        </w:rPr>
        <w:t>d</w:t>
      </w:r>
      <w:r>
        <w:rPr>
          <w:rFonts w:ascii="Bookman Old Style" w:hAnsi="Bookman Old Style"/>
          <w:sz w:val="28"/>
          <w:szCs w:val="28"/>
        </w:rPr>
        <w:t xml:space="preserve"> the 1</w:t>
      </w:r>
      <w:r w:rsidRPr="004D2F01">
        <w:rPr>
          <w:rFonts w:ascii="Bookman Old Style" w:hAnsi="Bookman Old Style"/>
          <w:sz w:val="28"/>
          <w:szCs w:val="28"/>
          <w:vertAlign w:val="superscript"/>
        </w:rPr>
        <w:t>st</w:t>
      </w:r>
      <w:r>
        <w:rPr>
          <w:rFonts w:ascii="Bookman Old Style" w:hAnsi="Bookman Old Style"/>
          <w:sz w:val="28"/>
          <w:szCs w:val="28"/>
        </w:rPr>
        <w:t xml:space="preserve"> Respondent to proceed with the sale of the property is in conflict with the judgment of the Supreme Court in </w:t>
      </w:r>
      <w:r w:rsidR="003B4F51" w:rsidRPr="003B4F51">
        <w:rPr>
          <w:rFonts w:ascii="Bookman Old Style" w:hAnsi="Bookman Old Style"/>
          <w:b/>
          <w:sz w:val="28"/>
          <w:szCs w:val="28"/>
        </w:rPr>
        <w:t>Tur</w:t>
      </w:r>
      <w:r w:rsidR="009166FC">
        <w:rPr>
          <w:rFonts w:ascii="Bookman Old Style" w:hAnsi="Bookman Old Style"/>
          <w:b/>
          <w:sz w:val="28"/>
          <w:szCs w:val="28"/>
        </w:rPr>
        <w:t>n</w:t>
      </w:r>
      <w:r w:rsidR="003B4F51" w:rsidRPr="003B4F51">
        <w:rPr>
          <w:rFonts w:ascii="Bookman Old Style" w:hAnsi="Bookman Old Style"/>
          <w:b/>
          <w:sz w:val="28"/>
          <w:szCs w:val="28"/>
        </w:rPr>
        <w:t>key Propert</w:t>
      </w:r>
      <w:r w:rsidR="009166FC">
        <w:rPr>
          <w:rFonts w:ascii="Bookman Old Style" w:hAnsi="Bookman Old Style"/>
          <w:b/>
          <w:sz w:val="28"/>
          <w:szCs w:val="28"/>
        </w:rPr>
        <w:t xml:space="preserve">ies </w:t>
      </w:r>
      <w:r w:rsidR="003B4F51" w:rsidRPr="003B4F51">
        <w:rPr>
          <w:rFonts w:ascii="Bookman Old Style" w:hAnsi="Bookman Old Style"/>
          <w:b/>
          <w:sz w:val="28"/>
          <w:szCs w:val="28"/>
        </w:rPr>
        <w:t>vs. Lusaka</w:t>
      </w:r>
      <w:r w:rsidR="003B4F51">
        <w:rPr>
          <w:rFonts w:ascii="Bookman Old Style" w:hAnsi="Bookman Old Style"/>
          <w:sz w:val="28"/>
          <w:szCs w:val="28"/>
        </w:rPr>
        <w:t xml:space="preserve"> </w:t>
      </w:r>
      <w:r w:rsidR="009166FC">
        <w:rPr>
          <w:rFonts w:ascii="Bookman Old Style" w:hAnsi="Bookman Old Style"/>
          <w:b/>
          <w:sz w:val="28"/>
          <w:szCs w:val="28"/>
        </w:rPr>
        <w:t>West</w:t>
      </w:r>
      <w:r w:rsidR="003B4F51" w:rsidRPr="003B4F51">
        <w:rPr>
          <w:rFonts w:ascii="Bookman Old Style" w:hAnsi="Bookman Old Style"/>
          <w:b/>
          <w:sz w:val="28"/>
          <w:szCs w:val="28"/>
        </w:rPr>
        <w:t xml:space="preserve"> Development Company </w:t>
      </w:r>
      <w:r w:rsidR="009D35D5">
        <w:rPr>
          <w:rFonts w:ascii="Bookman Old Style" w:hAnsi="Bookman Old Style"/>
          <w:b/>
          <w:sz w:val="28"/>
          <w:szCs w:val="28"/>
        </w:rPr>
        <w:t>and Others</w:t>
      </w:r>
      <w:r w:rsidR="00E70C34">
        <w:rPr>
          <w:rFonts w:ascii="Bookman Old Style" w:hAnsi="Bookman Old Style"/>
          <w:b/>
          <w:sz w:val="28"/>
          <w:szCs w:val="28"/>
        </w:rPr>
        <w:t>²</w:t>
      </w:r>
      <w:r w:rsidR="003B4F51">
        <w:rPr>
          <w:rFonts w:ascii="Bookman Old Style" w:hAnsi="Bookman Old Style"/>
          <w:b/>
          <w:sz w:val="28"/>
          <w:szCs w:val="28"/>
        </w:rPr>
        <w:t xml:space="preserve"> </w:t>
      </w:r>
      <w:r w:rsidR="003B4F51">
        <w:rPr>
          <w:rFonts w:ascii="Bookman Old Style" w:hAnsi="Bookman Old Style"/>
          <w:sz w:val="28"/>
          <w:szCs w:val="28"/>
        </w:rPr>
        <w:t>where the Supreme Court said that it is im</w:t>
      </w:r>
      <w:r w:rsidR="00786E47">
        <w:rPr>
          <w:rFonts w:ascii="Bookman Old Style" w:hAnsi="Bookman Old Style"/>
          <w:sz w:val="28"/>
          <w:szCs w:val="28"/>
        </w:rPr>
        <w:t>proper for a</w:t>
      </w:r>
      <w:r w:rsidR="003B4F51">
        <w:rPr>
          <w:rFonts w:ascii="Bookman Old Style" w:hAnsi="Bookman Old Style"/>
          <w:sz w:val="28"/>
          <w:szCs w:val="28"/>
        </w:rPr>
        <w:t xml:space="preserve"> Court hearing an inter</w:t>
      </w:r>
      <w:r w:rsidR="009740E7">
        <w:rPr>
          <w:rFonts w:ascii="Bookman Old Style" w:hAnsi="Bookman Old Style"/>
          <w:sz w:val="28"/>
          <w:szCs w:val="28"/>
        </w:rPr>
        <w:t>locutory</w:t>
      </w:r>
      <w:r w:rsidR="008D2C70">
        <w:rPr>
          <w:rFonts w:ascii="Bookman Old Style" w:hAnsi="Bookman Old Style"/>
          <w:sz w:val="28"/>
          <w:szCs w:val="28"/>
        </w:rPr>
        <w:t xml:space="preserve"> </w:t>
      </w:r>
      <w:proofErr w:type="gramStart"/>
      <w:r w:rsidR="008D2C70">
        <w:rPr>
          <w:rFonts w:ascii="Bookman Old Style" w:hAnsi="Bookman Old Style"/>
          <w:sz w:val="28"/>
          <w:szCs w:val="28"/>
        </w:rPr>
        <w:t xml:space="preserve">application </w:t>
      </w:r>
      <w:r w:rsidR="003B4F51">
        <w:rPr>
          <w:rFonts w:ascii="Bookman Old Style" w:hAnsi="Bookman Old Style"/>
          <w:sz w:val="28"/>
          <w:szCs w:val="28"/>
        </w:rPr>
        <w:t xml:space="preserve"> to</w:t>
      </w:r>
      <w:proofErr w:type="gramEnd"/>
      <w:r w:rsidR="003B4F51">
        <w:rPr>
          <w:rFonts w:ascii="Bookman Old Style" w:hAnsi="Bookman Old Style"/>
          <w:sz w:val="28"/>
          <w:szCs w:val="28"/>
        </w:rPr>
        <w:t xml:space="preserve"> make comments which may have an effect </w:t>
      </w:r>
      <w:r w:rsidR="000E3782">
        <w:rPr>
          <w:rFonts w:ascii="Bookman Old Style" w:hAnsi="Bookman Old Style"/>
          <w:sz w:val="28"/>
          <w:szCs w:val="28"/>
        </w:rPr>
        <w:t>of</w:t>
      </w:r>
      <w:r w:rsidR="003B4F51">
        <w:rPr>
          <w:rFonts w:ascii="Bookman Old Style" w:hAnsi="Bookman Old Style"/>
          <w:sz w:val="28"/>
          <w:szCs w:val="28"/>
        </w:rPr>
        <w:t xml:space="preserve"> </w:t>
      </w:r>
      <w:r w:rsidR="00786E47">
        <w:rPr>
          <w:rFonts w:ascii="Bookman Old Style" w:hAnsi="Bookman Old Style"/>
          <w:sz w:val="28"/>
          <w:szCs w:val="28"/>
        </w:rPr>
        <w:t>pre</w:t>
      </w:r>
      <w:r w:rsidR="008D2C70">
        <w:rPr>
          <w:rFonts w:ascii="Bookman Old Style" w:hAnsi="Bookman Old Style"/>
          <w:sz w:val="28"/>
          <w:szCs w:val="28"/>
        </w:rPr>
        <w:t>-</w:t>
      </w:r>
      <w:r w:rsidR="00786E47">
        <w:rPr>
          <w:rFonts w:ascii="Bookman Old Style" w:hAnsi="Bookman Old Style"/>
          <w:sz w:val="28"/>
          <w:szCs w:val="28"/>
        </w:rPr>
        <w:t xml:space="preserve">empting the decision of issues which are </w:t>
      </w:r>
      <w:r w:rsidR="000E3782">
        <w:rPr>
          <w:rFonts w:ascii="Bookman Old Style" w:hAnsi="Bookman Old Style"/>
          <w:sz w:val="28"/>
          <w:szCs w:val="28"/>
        </w:rPr>
        <w:t xml:space="preserve">to </w:t>
      </w:r>
      <w:r w:rsidR="00786E47">
        <w:rPr>
          <w:rFonts w:ascii="Bookman Old Style" w:hAnsi="Bookman Old Style"/>
          <w:sz w:val="28"/>
          <w:szCs w:val="28"/>
        </w:rPr>
        <w:t>be decided on the merit</w:t>
      </w:r>
      <w:r w:rsidR="000E3782">
        <w:rPr>
          <w:rFonts w:ascii="Bookman Old Style" w:hAnsi="Bookman Old Style"/>
          <w:sz w:val="28"/>
          <w:szCs w:val="28"/>
        </w:rPr>
        <w:t>s</w:t>
      </w:r>
      <w:r w:rsidR="00786E47">
        <w:rPr>
          <w:rFonts w:ascii="Bookman Old Style" w:hAnsi="Bookman Old Style"/>
          <w:sz w:val="28"/>
          <w:szCs w:val="28"/>
        </w:rPr>
        <w:t xml:space="preserve"> at the trial.  Mr. </w:t>
      </w:r>
      <w:proofErr w:type="spellStart"/>
      <w:r w:rsidR="00786E47">
        <w:rPr>
          <w:rFonts w:ascii="Bookman Old Style" w:hAnsi="Bookman Old Style"/>
          <w:sz w:val="28"/>
          <w:szCs w:val="28"/>
        </w:rPr>
        <w:t>Mainza</w:t>
      </w:r>
      <w:proofErr w:type="spellEnd"/>
      <w:r w:rsidR="00786E47">
        <w:rPr>
          <w:rFonts w:ascii="Bookman Old Style" w:hAnsi="Bookman Old Style"/>
          <w:sz w:val="28"/>
          <w:szCs w:val="28"/>
        </w:rPr>
        <w:t xml:space="preserve"> argued that the question whether or not the 1</w:t>
      </w:r>
      <w:r w:rsidR="00786E47" w:rsidRPr="00786E47">
        <w:rPr>
          <w:rFonts w:ascii="Bookman Old Style" w:hAnsi="Bookman Old Style"/>
          <w:sz w:val="28"/>
          <w:szCs w:val="28"/>
          <w:vertAlign w:val="superscript"/>
        </w:rPr>
        <w:t>st</w:t>
      </w:r>
      <w:r w:rsidR="00786E47">
        <w:rPr>
          <w:rFonts w:ascii="Bookman Old Style" w:hAnsi="Bookman Old Style"/>
          <w:sz w:val="28"/>
          <w:szCs w:val="28"/>
        </w:rPr>
        <w:t xml:space="preserve"> Respondent was entitled to possession of the property in question ought not to have been commented on by the Judge</w:t>
      </w:r>
      <w:r w:rsidR="008D2C70">
        <w:rPr>
          <w:rFonts w:ascii="Bookman Old Style" w:hAnsi="Bookman Old Style"/>
          <w:sz w:val="28"/>
          <w:szCs w:val="28"/>
        </w:rPr>
        <w:t xml:space="preserve"> in the c</w:t>
      </w:r>
      <w:r w:rsidR="009166FC">
        <w:rPr>
          <w:rFonts w:ascii="Bookman Old Style" w:hAnsi="Bookman Old Style"/>
          <w:sz w:val="28"/>
          <w:szCs w:val="28"/>
        </w:rPr>
        <w:t>ourse</w:t>
      </w:r>
      <w:r w:rsidR="008D2C70">
        <w:rPr>
          <w:rFonts w:ascii="Bookman Old Style" w:hAnsi="Bookman Old Style"/>
          <w:sz w:val="28"/>
          <w:szCs w:val="28"/>
        </w:rPr>
        <w:t xml:space="preserve"> of the application for an </w:t>
      </w:r>
      <w:r w:rsidR="00A06212">
        <w:rPr>
          <w:rFonts w:ascii="Bookman Old Style" w:hAnsi="Bookman Old Style"/>
          <w:sz w:val="28"/>
          <w:szCs w:val="28"/>
        </w:rPr>
        <w:t>inter</w:t>
      </w:r>
      <w:r w:rsidR="009740E7">
        <w:rPr>
          <w:rFonts w:ascii="Bookman Old Style" w:hAnsi="Bookman Old Style"/>
          <w:sz w:val="28"/>
          <w:szCs w:val="28"/>
        </w:rPr>
        <w:t xml:space="preserve">locutory </w:t>
      </w:r>
      <w:r w:rsidR="00A06212">
        <w:rPr>
          <w:rFonts w:ascii="Bookman Old Style" w:hAnsi="Bookman Old Style"/>
          <w:sz w:val="28"/>
          <w:szCs w:val="28"/>
        </w:rPr>
        <w:t>injunction</w:t>
      </w:r>
      <w:r w:rsidR="008D2C70">
        <w:rPr>
          <w:rFonts w:ascii="Bookman Old Style" w:hAnsi="Bookman Old Style"/>
          <w:sz w:val="28"/>
          <w:szCs w:val="28"/>
        </w:rPr>
        <w:t>.  H</w:t>
      </w:r>
      <w:r w:rsidR="00786E47">
        <w:rPr>
          <w:rFonts w:ascii="Bookman Old Style" w:hAnsi="Bookman Old Style"/>
          <w:sz w:val="28"/>
          <w:szCs w:val="28"/>
        </w:rPr>
        <w:t xml:space="preserve">e contended that the appeal by the Appellant has prospect of succeeding and urged this Court to </w:t>
      </w:r>
      <w:r w:rsidR="008D2C70">
        <w:rPr>
          <w:rFonts w:ascii="Bookman Old Style" w:hAnsi="Bookman Old Style"/>
          <w:sz w:val="28"/>
          <w:szCs w:val="28"/>
        </w:rPr>
        <w:t>exercise its</w:t>
      </w:r>
      <w:r w:rsidR="00786E47">
        <w:rPr>
          <w:rFonts w:ascii="Bookman Old Style" w:hAnsi="Bookman Old Style"/>
          <w:sz w:val="28"/>
          <w:szCs w:val="28"/>
        </w:rPr>
        <w:t xml:space="preserve"> discretion to grant the Appellant an Order staying the sale of </w:t>
      </w:r>
      <w:r w:rsidR="000E3782">
        <w:rPr>
          <w:rFonts w:ascii="Bookman Old Style" w:hAnsi="Bookman Old Style"/>
          <w:sz w:val="28"/>
          <w:szCs w:val="28"/>
        </w:rPr>
        <w:t xml:space="preserve">the </w:t>
      </w:r>
      <w:r w:rsidR="00786E47">
        <w:rPr>
          <w:rFonts w:ascii="Bookman Old Style" w:hAnsi="Bookman Old Style"/>
          <w:sz w:val="28"/>
          <w:szCs w:val="28"/>
        </w:rPr>
        <w:t xml:space="preserve">property in </w:t>
      </w:r>
      <w:r w:rsidR="008D2C70">
        <w:rPr>
          <w:rFonts w:ascii="Bookman Old Style" w:hAnsi="Bookman Old Style"/>
          <w:sz w:val="28"/>
          <w:szCs w:val="28"/>
        </w:rPr>
        <w:t>question until</w:t>
      </w:r>
      <w:r w:rsidR="00786E47">
        <w:rPr>
          <w:rFonts w:ascii="Bookman Old Style" w:hAnsi="Bookman Old Style"/>
          <w:sz w:val="28"/>
          <w:szCs w:val="28"/>
        </w:rPr>
        <w:t xml:space="preserve"> the </w:t>
      </w:r>
      <w:r w:rsidR="000E3782">
        <w:rPr>
          <w:rFonts w:ascii="Bookman Old Style" w:hAnsi="Bookman Old Style"/>
          <w:sz w:val="28"/>
          <w:szCs w:val="28"/>
        </w:rPr>
        <w:t xml:space="preserve">determination of the </w:t>
      </w:r>
      <w:r w:rsidR="00786E47">
        <w:rPr>
          <w:rFonts w:ascii="Bookman Old Style" w:hAnsi="Bookman Old Style"/>
          <w:sz w:val="28"/>
          <w:szCs w:val="28"/>
        </w:rPr>
        <w:t xml:space="preserve">main appeal by the Supreme Court.  </w:t>
      </w:r>
    </w:p>
    <w:p w:rsidR="007C37B2" w:rsidRDefault="005C260C" w:rsidP="001F3EAC">
      <w:pPr>
        <w:spacing w:line="480" w:lineRule="auto"/>
        <w:ind w:firstLine="720"/>
        <w:jc w:val="both"/>
        <w:rPr>
          <w:rFonts w:ascii="Bookman Old Style" w:hAnsi="Bookman Old Style"/>
          <w:sz w:val="28"/>
          <w:szCs w:val="28"/>
        </w:rPr>
      </w:pPr>
      <w:r>
        <w:rPr>
          <w:rFonts w:ascii="Bookman Old Style" w:hAnsi="Bookman Old Style"/>
          <w:sz w:val="28"/>
          <w:szCs w:val="28"/>
        </w:rPr>
        <w:t>On the other hand</w:t>
      </w:r>
      <w:r w:rsidR="009B5057">
        <w:rPr>
          <w:rFonts w:ascii="Bookman Old Style" w:hAnsi="Bookman Old Style"/>
          <w:sz w:val="28"/>
          <w:szCs w:val="28"/>
        </w:rPr>
        <w:t>,</w:t>
      </w:r>
      <w:r w:rsidR="007C37B2">
        <w:rPr>
          <w:rFonts w:ascii="Bookman Old Style" w:hAnsi="Bookman Old Style"/>
          <w:sz w:val="28"/>
          <w:szCs w:val="28"/>
        </w:rPr>
        <w:t xml:space="preserve"> Mr</w:t>
      </w:r>
      <w:r w:rsidR="00C44C32">
        <w:rPr>
          <w:rFonts w:ascii="Bookman Old Style" w:hAnsi="Bookman Old Style"/>
          <w:sz w:val="28"/>
          <w:szCs w:val="28"/>
        </w:rPr>
        <w:t xml:space="preserve">. </w:t>
      </w:r>
      <w:proofErr w:type="spellStart"/>
      <w:r w:rsidR="007C37B2">
        <w:rPr>
          <w:rFonts w:ascii="Bookman Old Style" w:hAnsi="Bookman Old Style"/>
          <w:sz w:val="28"/>
          <w:szCs w:val="28"/>
        </w:rPr>
        <w:t>Kalikit</w:t>
      </w:r>
      <w:r w:rsidR="00756836">
        <w:rPr>
          <w:rFonts w:ascii="Bookman Old Style" w:hAnsi="Bookman Old Style"/>
          <w:sz w:val="28"/>
          <w:szCs w:val="28"/>
        </w:rPr>
        <w:t>i</w:t>
      </w:r>
      <w:proofErr w:type="spellEnd"/>
      <w:r w:rsidR="007C37B2">
        <w:rPr>
          <w:rFonts w:ascii="Bookman Old Style" w:hAnsi="Bookman Old Style"/>
          <w:sz w:val="28"/>
          <w:szCs w:val="28"/>
        </w:rPr>
        <w:t xml:space="preserve"> Counsel for the 1</w:t>
      </w:r>
      <w:r w:rsidR="007C37B2" w:rsidRPr="007C37B2">
        <w:rPr>
          <w:rFonts w:ascii="Bookman Old Style" w:hAnsi="Bookman Old Style"/>
          <w:sz w:val="28"/>
          <w:szCs w:val="28"/>
          <w:vertAlign w:val="superscript"/>
        </w:rPr>
        <w:t>st</w:t>
      </w:r>
      <w:r w:rsidR="007C37B2">
        <w:rPr>
          <w:rFonts w:ascii="Bookman Old Style" w:hAnsi="Bookman Old Style"/>
          <w:sz w:val="28"/>
          <w:szCs w:val="28"/>
        </w:rPr>
        <w:t xml:space="preserve"> Respondent submitted that he was relying on the affidavit in opposition filed herein.  He contended that the Court below was on </w:t>
      </w:r>
      <w:r w:rsidR="009B5057">
        <w:rPr>
          <w:rFonts w:ascii="Bookman Old Style" w:hAnsi="Bookman Old Style"/>
          <w:sz w:val="28"/>
          <w:szCs w:val="28"/>
        </w:rPr>
        <w:t xml:space="preserve">firm ground </w:t>
      </w:r>
      <w:r w:rsidR="007C37B2">
        <w:rPr>
          <w:rFonts w:ascii="Bookman Old Style" w:hAnsi="Bookman Old Style"/>
          <w:sz w:val="28"/>
          <w:szCs w:val="28"/>
        </w:rPr>
        <w:t xml:space="preserve">when he </w:t>
      </w:r>
      <w:r w:rsidR="009B5057">
        <w:rPr>
          <w:rFonts w:ascii="Bookman Old Style" w:hAnsi="Bookman Old Style"/>
          <w:sz w:val="28"/>
          <w:szCs w:val="28"/>
        </w:rPr>
        <w:t>denied</w:t>
      </w:r>
      <w:r w:rsidR="007C37B2">
        <w:rPr>
          <w:rFonts w:ascii="Bookman Old Style" w:hAnsi="Bookman Old Style"/>
          <w:sz w:val="28"/>
          <w:szCs w:val="28"/>
        </w:rPr>
        <w:t xml:space="preserve"> the Appellant an injunction</w:t>
      </w:r>
      <w:r w:rsidR="009B5057">
        <w:rPr>
          <w:rFonts w:ascii="Bookman Old Style" w:hAnsi="Bookman Old Style"/>
          <w:sz w:val="28"/>
          <w:szCs w:val="28"/>
        </w:rPr>
        <w:t>.  T</w:t>
      </w:r>
      <w:r w:rsidR="007C37B2">
        <w:rPr>
          <w:rFonts w:ascii="Bookman Old Style" w:hAnsi="Bookman Old Style"/>
          <w:sz w:val="28"/>
          <w:szCs w:val="28"/>
        </w:rPr>
        <w:t xml:space="preserve">hat the Court was not commenting on the matter </w:t>
      </w:r>
      <w:proofErr w:type="spellStart"/>
      <w:proofErr w:type="gramStart"/>
      <w:r w:rsidR="006306BC">
        <w:rPr>
          <w:rFonts w:ascii="Bookman Old Style" w:hAnsi="Bookman Old Style"/>
          <w:sz w:val="28"/>
          <w:szCs w:val="28"/>
        </w:rPr>
        <w:t>its</w:t>
      </w:r>
      <w:proofErr w:type="spellEnd"/>
      <w:proofErr w:type="gramEnd"/>
      <w:r w:rsidR="006306BC">
        <w:rPr>
          <w:rFonts w:ascii="Bookman Old Style" w:hAnsi="Bookman Old Style"/>
          <w:sz w:val="28"/>
          <w:szCs w:val="28"/>
        </w:rPr>
        <w:t xml:space="preserve"> not his </w:t>
      </w:r>
      <w:r w:rsidR="006306BC">
        <w:rPr>
          <w:rFonts w:ascii="Bookman Old Style" w:hAnsi="Bookman Old Style"/>
          <w:sz w:val="28"/>
          <w:szCs w:val="28"/>
        </w:rPr>
        <w:lastRenderedPageBreak/>
        <w:t xml:space="preserve">learned friend refers to as comments is in fact the Ruling made by the Court below as he exercised his discretion.  That his position was made </w:t>
      </w:r>
      <w:r w:rsidR="000E5473">
        <w:rPr>
          <w:rFonts w:ascii="Bookman Old Style" w:hAnsi="Bookman Old Style"/>
          <w:sz w:val="28"/>
          <w:szCs w:val="28"/>
        </w:rPr>
        <w:t>clear in</w:t>
      </w:r>
      <w:r w:rsidR="007C37B2">
        <w:rPr>
          <w:rFonts w:ascii="Bookman Old Style" w:hAnsi="Bookman Old Style"/>
          <w:sz w:val="28"/>
          <w:szCs w:val="28"/>
        </w:rPr>
        <w:t xml:space="preserve"> the case of </w:t>
      </w:r>
      <w:r w:rsidR="007C37B2" w:rsidRPr="007C37B2">
        <w:rPr>
          <w:rFonts w:ascii="Bookman Old Style" w:hAnsi="Bookman Old Style"/>
          <w:b/>
          <w:sz w:val="28"/>
          <w:szCs w:val="28"/>
        </w:rPr>
        <w:t xml:space="preserve">Sonny </w:t>
      </w:r>
      <w:proofErr w:type="spellStart"/>
      <w:r w:rsidR="007C37B2" w:rsidRPr="007C37B2">
        <w:rPr>
          <w:rFonts w:ascii="Bookman Old Style" w:hAnsi="Bookman Old Style"/>
          <w:b/>
          <w:sz w:val="28"/>
          <w:szCs w:val="28"/>
        </w:rPr>
        <w:t>Mulenga</w:t>
      </w:r>
      <w:proofErr w:type="spellEnd"/>
      <w:r w:rsidR="007C37B2">
        <w:rPr>
          <w:rFonts w:ascii="Bookman Old Style" w:hAnsi="Bookman Old Style"/>
          <w:sz w:val="28"/>
          <w:szCs w:val="28"/>
        </w:rPr>
        <w:t xml:space="preserve"> cited by his learned friend.  Mr. </w:t>
      </w:r>
      <w:proofErr w:type="spellStart"/>
      <w:r w:rsidR="007C37B2">
        <w:rPr>
          <w:rFonts w:ascii="Bookman Old Style" w:hAnsi="Bookman Old Style"/>
          <w:sz w:val="28"/>
          <w:szCs w:val="28"/>
        </w:rPr>
        <w:t>Kalikit</w:t>
      </w:r>
      <w:r w:rsidR="00756836">
        <w:rPr>
          <w:rFonts w:ascii="Bookman Old Style" w:hAnsi="Bookman Old Style"/>
          <w:sz w:val="28"/>
          <w:szCs w:val="28"/>
        </w:rPr>
        <w:t>i</w:t>
      </w:r>
      <w:proofErr w:type="spellEnd"/>
      <w:r w:rsidR="009B5057">
        <w:rPr>
          <w:rFonts w:ascii="Bookman Old Style" w:hAnsi="Bookman Old Style"/>
          <w:sz w:val="28"/>
          <w:szCs w:val="28"/>
        </w:rPr>
        <w:t xml:space="preserve"> relying on the </w:t>
      </w:r>
      <w:r w:rsidR="009B5057" w:rsidRPr="009B5057">
        <w:rPr>
          <w:rFonts w:ascii="Bookman Old Style" w:hAnsi="Bookman Old Style"/>
          <w:b/>
          <w:sz w:val="28"/>
          <w:szCs w:val="28"/>
        </w:rPr>
        <w:t xml:space="preserve">Sonny </w:t>
      </w:r>
      <w:proofErr w:type="spellStart"/>
      <w:proofErr w:type="gramStart"/>
      <w:r w:rsidR="009B5057" w:rsidRPr="009B5057">
        <w:rPr>
          <w:rFonts w:ascii="Bookman Old Style" w:hAnsi="Bookman Old Style"/>
          <w:b/>
          <w:sz w:val="28"/>
          <w:szCs w:val="28"/>
        </w:rPr>
        <w:t>Mulenga</w:t>
      </w:r>
      <w:proofErr w:type="spellEnd"/>
      <w:r w:rsidR="009B5057">
        <w:rPr>
          <w:rFonts w:ascii="Bookman Old Style" w:hAnsi="Bookman Old Style"/>
          <w:sz w:val="28"/>
          <w:szCs w:val="28"/>
        </w:rPr>
        <w:t xml:space="preserve"> </w:t>
      </w:r>
      <w:r w:rsidR="00C44C32">
        <w:rPr>
          <w:rFonts w:ascii="Bookman Old Style" w:hAnsi="Bookman Old Style"/>
          <w:sz w:val="28"/>
          <w:szCs w:val="28"/>
        </w:rPr>
        <w:t xml:space="preserve"> </w:t>
      </w:r>
      <w:r w:rsidR="007C37B2">
        <w:rPr>
          <w:rFonts w:ascii="Bookman Old Style" w:hAnsi="Bookman Old Style"/>
          <w:sz w:val="28"/>
          <w:szCs w:val="28"/>
        </w:rPr>
        <w:t>argued</w:t>
      </w:r>
      <w:proofErr w:type="gramEnd"/>
      <w:r w:rsidR="007C37B2">
        <w:rPr>
          <w:rFonts w:ascii="Bookman Old Style" w:hAnsi="Bookman Old Style"/>
          <w:sz w:val="28"/>
          <w:szCs w:val="28"/>
        </w:rPr>
        <w:t xml:space="preserve"> that the Court</w:t>
      </w:r>
      <w:r w:rsidR="009B5057">
        <w:rPr>
          <w:rFonts w:ascii="Bookman Old Style" w:hAnsi="Bookman Old Style"/>
          <w:sz w:val="28"/>
          <w:szCs w:val="28"/>
        </w:rPr>
        <w:t xml:space="preserve"> below </w:t>
      </w:r>
      <w:r w:rsidR="007C37B2">
        <w:rPr>
          <w:rFonts w:ascii="Bookman Old Style" w:hAnsi="Bookman Old Style"/>
          <w:sz w:val="28"/>
          <w:szCs w:val="28"/>
        </w:rPr>
        <w:t xml:space="preserve"> was merely exercising its discretion in stating that the </w:t>
      </w:r>
      <w:r w:rsidR="009B5057">
        <w:rPr>
          <w:rFonts w:ascii="Bookman Old Style" w:hAnsi="Bookman Old Style"/>
          <w:sz w:val="28"/>
          <w:szCs w:val="28"/>
        </w:rPr>
        <w:t xml:space="preserve">appeal had </w:t>
      </w:r>
      <w:r w:rsidR="007C37B2">
        <w:rPr>
          <w:rFonts w:ascii="Bookman Old Style" w:hAnsi="Bookman Old Style"/>
          <w:sz w:val="28"/>
          <w:szCs w:val="28"/>
        </w:rPr>
        <w:t>no prospect</w:t>
      </w:r>
      <w:r w:rsidR="009B5057">
        <w:rPr>
          <w:rFonts w:ascii="Bookman Old Style" w:hAnsi="Bookman Old Style"/>
          <w:sz w:val="28"/>
          <w:szCs w:val="28"/>
        </w:rPr>
        <w:t>s</w:t>
      </w:r>
      <w:r w:rsidR="007C37B2">
        <w:rPr>
          <w:rFonts w:ascii="Bookman Old Style" w:hAnsi="Bookman Old Style"/>
          <w:sz w:val="28"/>
          <w:szCs w:val="28"/>
        </w:rPr>
        <w:t xml:space="preserve"> of success</w:t>
      </w:r>
      <w:r w:rsidR="009B5057">
        <w:rPr>
          <w:rFonts w:ascii="Bookman Old Style" w:hAnsi="Bookman Old Style"/>
          <w:sz w:val="28"/>
          <w:szCs w:val="28"/>
        </w:rPr>
        <w:t>.</w:t>
      </w:r>
      <w:r w:rsidR="007C37B2">
        <w:rPr>
          <w:rFonts w:ascii="Bookman Old Style" w:hAnsi="Bookman Old Style"/>
          <w:sz w:val="28"/>
          <w:szCs w:val="28"/>
        </w:rPr>
        <w:t xml:space="preserve">  </w:t>
      </w:r>
    </w:p>
    <w:p w:rsidR="00DB0E58" w:rsidRDefault="007C37B2" w:rsidP="001F3EAC">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submitted that from the affidavit in opposition it is evident that the subdivision was </w:t>
      </w:r>
      <w:r w:rsidR="008310C5">
        <w:rPr>
          <w:rFonts w:ascii="Bookman Old Style" w:hAnsi="Bookman Old Style"/>
          <w:sz w:val="28"/>
          <w:szCs w:val="28"/>
        </w:rPr>
        <w:t xml:space="preserve">pledged to the bank as security for the facility which was obtained by </w:t>
      </w:r>
      <w:proofErr w:type="spellStart"/>
      <w:r w:rsidR="008310C5">
        <w:rPr>
          <w:rFonts w:ascii="Bookman Old Style" w:hAnsi="Bookman Old Style"/>
          <w:sz w:val="28"/>
          <w:szCs w:val="28"/>
        </w:rPr>
        <w:t>Ni</w:t>
      </w:r>
      <w:r w:rsidR="009166FC">
        <w:rPr>
          <w:rFonts w:ascii="Bookman Old Style" w:hAnsi="Bookman Old Style"/>
          <w:sz w:val="28"/>
          <w:szCs w:val="28"/>
        </w:rPr>
        <w:t>e</w:t>
      </w:r>
      <w:r w:rsidR="008310C5">
        <w:rPr>
          <w:rFonts w:ascii="Bookman Old Style" w:hAnsi="Bookman Old Style"/>
          <w:sz w:val="28"/>
          <w:szCs w:val="28"/>
        </w:rPr>
        <w:t>l</w:t>
      </w:r>
      <w:proofErr w:type="spellEnd"/>
      <w:r w:rsidR="008310C5">
        <w:rPr>
          <w:rFonts w:ascii="Bookman Old Style" w:hAnsi="Bookman Old Style"/>
          <w:sz w:val="28"/>
          <w:szCs w:val="28"/>
        </w:rPr>
        <w:t xml:space="preserve"> </w:t>
      </w:r>
      <w:proofErr w:type="spellStart"/>
      <w:r w:rsidR="008310C5">
        <w:rPr>
          <w:rFonts w:ascii="Bookman Old Style" w:hAnsi="Bookman Old Style"/>
          <w:sz w:val="28"/>
          <w:szCs w:val="28"/>
        </w:rPr>
        <w:t>Sil</w:t>
      </w:r>
      <w:r w:rsidR="00B67814">
        <w:rPr>
          <w:rFonts w:ascii="Bookman Old Style" w:hAnsi="Bookman Old Style"/>
          <w:sz w:val="28"/>
          <w:szCs w:val="28"/>
        </w:rPr>
        <w:t>l</w:t>
      </w:r>
      <w:r w:rsidR="008310C5">
        <w:rPr>
          <w:rFonts w:ascii="Bookman Old Style" w:hAnsi="Bookman Old Style"/>
          <w:sz w:val="28"/>
          <w:szCs w:val="28"/>
        </w:rPr>
        <w:t>ito</w:t>
      </w:r>
      <w:r w:rsidR="00B67814">
        <w:rPr>
          <w:rFonts w:ascii="Bookman Old Style" w:hAnsi="Bookman Old Style"/>
          <w:sz w:val="28"/>
          <w:szCs w:val="28"/>
        </w:rPr>
        <w:t>e</w:t>
      </w:r>
      <w:proofErr w:type="spellEnd"/>
      <w:r w:rsidR="008310C5">
        <w:rPr>
          <w:rFonts w:ascii="Bookman Old Style" w:hAnsi="Bookman Old Style"/>
          <w:sz w:val="28"/>
          <w:szCs w:val="28"/>
        </w:rPr>
        <w:t xml:space="preserve"> and that this was </w:t>
      </w:r>
      <w:r w:rsidR="009B5057">
        <w:rPr>
          <w:rFonts w:ascii="Bookman Old Style" w:hAnsi="Bookman Old Style"/>
          <w:sz w:val="28"/>
          <w:szCs w:val="28"/>
        </w:rPr>
        <w:t>confirmed by another law firm AKM</w:t>
      </w:r>
      <w:r w:rsidR="008310C5">
        <w:rPr>
          <w:rFonts w:ascii="Bookman Old Style" w:hAnsi="Bookman Old Style"/>
          <w:sz w:val="28"/>
          <w:szCs w:val="28"/>
        </w:rPr>
        <w:t xml:space="preserve"> Legal Practitioners who </w:t>
      </w:r>
      <w:r w:rsidR="008C6B80">
        <w:rPr>
          <w:rFonts w:ascii="Bookman Old Style" w:hAnsi="Bookman Old Style"/>
          <w:sz w:val="28"/>
          <w:szCs w:val="28"/>
        </w:rPr>
        <w:t>were</w:t>
      </w:r>
      <w:r w:rsidR="008310C5">
        <w:rPr>
          <w:rFonts w:ascii="Bookman Old Style" w:hAnsi="Bookman Old Style"/>
          <w:sz w:val="28"/>
          <w:szCs w:val="28"/>
        </w:rPr>
        <w:t xml:space="preserve"> given instruction to subdivide and create a mortgage.  That A</w:t>
      </w:r>
      <w:r w:rsidR="009B5057">
        <w:rPr>
          <w:rFonts w:ascii="Bookman Old Style" w:hAnsi="Bookman Old Style"/>
          <w:caps/>
          <w:sz w:val="28"/>
          <w:szCs w:val="28"/>
        </w:rPr>
        <w:t>KM</w:t>
      </w:r>
      <w:r w:rsidR="008310C5">
        <w:rPr>
          <w:rFonts w:ascii="Bookman Old Style" w:hAnsi="Bookman Old Style"/>
          <w:caps/>
          <w:sz w:val="28"/>
          <w:szCs w:val="28"/>
        </w:rPr>
        <w:t xml:space="preserve"> </w:t>
      </w:r>
      <w:r w:rsidR="008310C5">
        <w:rPr>
          <w:rFonts w:ascii="Bookman Old Style" w:hAnsi="Bookman Old Style"/>
          <w:sz w:val="28"/>
          <w:szCs w:val="28"/>
        </w:rPr>
        <w:t xml:space="preserve">Legal Practitioners gave </w:t>
      </w:r>
      <w:r w:rsidR="003F1C2B">
        <w:rPr>
          <w:rFonts w:ascii="Bookman Old Style" w:hAnsi="Bookman Old Style"/>
          <w:sz w:val="28"/>
          <w:szCs w:val="28"/>
        </w:rPr>
        <w:t>comfort</w:t>
      </w:r>
      <w:r w:rsidR="008310C5">
        <w:rPr>
          <w:rFonts w:ascii="Bookman Old Style" w:hAnsi="Bookman Old Style"/>
          <w:sz w:val="28"/>
          <w:szCs w:val="28"/>
        </w:rPr>
        <w:t xml:space="preserve"> to the bank in their letter </w:t>
      </w:r>
      <w:r w:rsidR="00B67814">
        <w:rPr>
          <w:rFonts w:ascii="Bookman Old Style" w:hAnsi="Bookman Old Style"/>
          <w:sz w:val="28"/>
          <w:szCs w:val="28"/>
        </w:rPr>
        <w:t>which i</w:t>
      </w:r>
      <w:r w:rsidR="00005AA5">
        <w:rPr>
          <w:rFonts w:ascii="Bookman Old Style" w:hAnsi="Bookman Old Style"/>
          <w:sz w:val="28"/>
          <w:szCs w:val="28"/>
        </w:rPr>
        <w:t>s E</w:t>
      </w:r>
      <w:r w:rsidR="008310C5">
        <w:rPr>
          <w:rFonts w:ascii="Bookman Old Style" w:hAnsi="Bookman Old Style"/>
          <w:sz w:val="28"/>
          <w:szCs w:val="28"/>
        </w:rPr>
        <w:t xml:space="preserve">xhibited MM3 and that the subdivision was also confirmed by the Council which approved the </w:t>
      </w:r>
      <w:r w:rsidR="00B67814">
        <w:rPr>
          <w:rFonts w:ascii="Bookman Old Style" w:hAnsi="Bookman Old Style"/>
          <w:sz w:val="28"/>
          <w:szCs w:val="28"/>
        </w:rPr>
        <w:t xml:space="preserve">application for </w:t>
      </w:r>
      <w:r w:rsidR="008310C5">
        <w:rPr>
          <w:rFonts w:ascii="Bookman Old Style" w:hAnsi="Bookman Old Style"/>
          <w:sz w:val="28"/>
          <w:szCs w:val="28"/>
        </w:rPr>
        <w:t xml:space="preserve">subdivision </w:t>
      </w:r>
      <w:r w:rsidR="00005AA5">
        <w:rPr>
          <w:rFonts w:ascii="Bookman Old Style" w:hAnsi="Bookman Old Style"/>
          <w:sz w:val="28"/>
          <w:szCs w:val="28"/>
        </w:rPr>
        <w:t>as shown in E</w:t>
      </w:r>
      <w:r w:rsidR="00B67814">
        <w:rPr>
          <w:rFonts w:ascii="Bookman Old Style" w:hAnsi="Bookman Old Style"/>
          <w:sz w:val="28"/>
          <w:szCs w:val="28"/>
        </w:rPr>
        <w:t xml:space="preserve">xhibit MM4.  </w:t>
      </w:r>
      <w:r w:rsidR="008310C5">
        <w:rPr>
          <w:rFonts w:ascii="Bookman Old Style" w:hAnsi="Bookman Old Style"/>
          <w:sz w:val="28"/>
          <w:szCs w:val="28"/>
        </w:rPr>
        <w:t xml:space="preserve"> </w:t>
      </w:r>
      <w:r w:rsidR="00B67814">
        <w:rPr>
          <w:rFonts w:ascii="Bookman Old Style" w:hAnsi="Bookman Old Style"/>
          <w:sz w:val="28"/>
          <w:szCs w:val="28"/>
        </w:rPr>
        <w:t xml:space="preserve">Mr. </w:t>
      </w:r>
      <w:proofErr w:type="spellStart"/>
      <w:r w:rsidR="00B67814">
        <w:rPr>
          <w:rFonts w:ascii="Bookman Old Style" w:hAnsi="Bookman Old Style"/>
          <w:sz w:val="28"/>
          <w:szCs w:val="28"/>
        </w:rPr>
        <w:t>Kalikit</w:t>
      </w:r>
      <w:r w:rsidR="00756836">
        <w:rPr>
          <w:rFonts w:ascii="Bookman Old Style" w:hAnsi="Bookman Old Style"/>
          <w:sz w:val="28"/>
          <w:szCs w:val="28"/>
        </w:rPr>
        <w:t>i</w:t>
      </w:r>
      <w:proofErr w:type="spellEnd"/>
      <w:r w:rsidR="00B67814">
        <w:rPr>
          <w:rFonts w:ascii="Bookman Old Style" w:hAnsi="Bookman Old Style"/>
          <w:sz w:val="28"/>
          <w:szCs w:val="28"/>
        </w:rPr>
        <w:t xml:space="preserve"> submitted that, the bank </w:t>
      </w:r>
      <w:r w:rsidR="009B5057">
        <w:rPr>
          <w:rFonts w:ascii="Bookman Old Style" w:hAnsi="Bookman Old Style"/>
          <w:sz w:val="28"/>
          <w:szCs w:val="28"/>
        </w:rPr>
        <w:t>was assured</w:t>
      </w:r>
      <w:r w:rsidR="00B67814">
        <w:rPr>
          <w:rFonts w:ascii="Bookman Old Style" w:hAnsi="Bookman Old Style"/>
          <w:sz w:val="28"/>
          <w:szCs w:val="28"/>
        </w:rPr>
        <w:t xml:space="preserve"> that the said transaction was above board.  </w:t>
      </w:r>
      <w:proofErr w:type="gramStart"/>
      <w:r w:rsidR="009B5057">
        <w:rPr>
          <w:rFonts w:ascii="Bookman Old Style" w:hAnsi="Bookman Old Style"/>
          <w:sz w:val="28"/>
          <w:szCs w:val="28"/>
        </w:rPr>
        <w:t>T</w:t>
      </w:r>
      <w:r w:rsidR="00B67814">
        <w:rPr>
          <w:rFonts w:ascii="Bookman Old Style" w:hAnsi="Bookman Old Style"/>
          <w:sz w:val="28"/>
          <w:szCs w:val="28"/>
        </w:rPr>
        <w:t>hat</w:t>
      </w:r>
      <w:r w:rsidR="009B5057">
        <w:rPr>
          <w:rFonts w:ascii="Bookman Old Style" w:hAnsi="Bookman Old Style"/>
          <w:sz w:val="28"/>
          <w:szCs w:val="28"/>
        </w:rPr>
        <w:t>,</w:t>
      </w:r>
      <w:r w:rsidR="00B67814">
        <w:rPr>
          <w:rFonts w:ascii="Bookman Old Style" w:hAnsi="Bookman Old Style"/>
          <w:sz w:val="28"/>
          <w:szCs w:val="28"/>
        </w:rPr>
        <w:t xml:space="preserve"> therefore</w:t>
      </w:r>
      <w:r w:rsidR="009B5057">
        <w:rPr>
          <w:rFonts w:ascii="Bookman Old Style" w:hAnsi="Bookman Old Style"/>
          <w:sz w:val="28"/>
          <w:szCs w:val="28"/>
        </w:rPr>
        <w:t>,</w:t>
      </w:r>
      <w:r w:rsidR="00B67814">
        <w:rPr>
          <w:rFonts w:ascii="Bookman Old Style" w:hAnsi="Bookman Old Style"/>
          <w:sz w:val="28"/>
          <w:szCs w:val="28"/>
        </w:rPr>
        <w:t xml:space="preserve"> </w:t>
      </w:r>
      <w:r w:rsidR="008C6B80">
        <w:rPr>
          <w:rFonts w:ascii="Bookman Old Style" w:hAnsi="Bookman Old Style"/>
          <w:sz w:val="28"/>
          <w:szCs w:val="28"/>
        </w:rPr>
        <w:t xml:space="preserve">there was an </w:t>
      </w:r>
      <w:r w:rsidR="00B67814">
        <w:rPr>
          <w:rFonts w:ascii="Bookman Old Style" w:hAnsi="Bookman Old Style"/>
          <w:sz w:val="28"/>
          <w:szCs w:val="28"/>
        </w:rPr>
        <w:t>equitable mortgage on the property.</w:t>
      </w:r>
      <w:proofErr w:type="gramEnd"/>
      <w:r w:rsidR="00B67814">
        <w:rPr>
          <w:rFonts w:ascii="Bookman Old Style" w:hAnsi="Bookman Old Style"/>
          <w:sz w:val="28"/>
          <w:szCs w:val="28"/>
        </w:rPr>
        <w:t xml:space="preserve">  He submitted that the subdivision of the said property could not have been done without submitting the relevant documents to the relevant </w:t>
      </w:r>
      <w:r w:rsidR="00DB0E58">
        <w:rPr>
          <w:rFonts w:ascii="Bookman Old Style" w:hAnsi="Bookman Old Style"/>
          <w:sz w:val="28"/>
          <w:szCs w:val="28"/>
        </w:rPr>
        <w:t>authorities</w:t>
      </w:r>
      <w:r w:rsidR="00B67814">
        <w:rPr>
          <w:rFonts w:ascii="Bookman Old Style" w:hAnsi="Bookman Old Style"/>
          <w:sz w:val="28"/>
          <w:szCs w:val="28"/>
        </w:rPr>
        <w:t xml:space="preserve"> and </w:t>
      </w:r>
      <w:r w:rsidR="008C6B80">
        <w:rPr>
          <w:rFonts w:ascii="Bookman Old Style" w:hAnsi="Bookman Old Style"/>
          <w:sz w:val="28"/>
          <w:szCs w:val="28"/>
        </w:rPr>
        <w:t xml:space="preserve">that </w:t>
      </w:r>
      <w:r w:rsidR="00DB0E58">
        <w:rPr>
          <w:rFonts w:ascii="Bookman Old Style" w:hAnsi="Bookman Old Style"/>
          <w:sz w:val="28"/>
          <w:szCs w:val="28"/>
        </w:rPr>
        <w:t>the parties were</w:t>
      </w:r>
      <w:r w:rsidR="009B5057">
        <w:rPr>
          <w:rFonts w:ascii="Bookman Old Style" w:hAnsi="Bookman Old Style"/>
          <w:sz w:val="28"/>
          <w:szCs w:val="28"/>
        </w:rPr>
        <w:t>,</w:t>
      </w:r>
      <w:r w:rsidR="00DB0E58">
        <w:rPr>
          <w:rFonts w:ascii="Bookman Old Style" w:hAnsi="Bookman Old Style"/>
          <w:sz w:val="28"/>
          <w:szCs w:val="28"/>
        </w:rPr>
        <w:t xml:space="preserve"> therefore</w:t>
      </w:r>
      <w:r w:rsidR="008C6B80">
        <w:rPr>
          <w:rFonts w:ascii="Bookman Old Style" w:hAnsi="Bookman Old Style"/>
          <w:sz w:val="28"/>
          <w:szCs w:val="28"/>
        </w:rPr>
        <w:t>,</w:t>
      </w:r>
      <w:r w:rsidR="00DB0E58">
        <w:rPr>
          <w:rFonts w:ascii="Bookman Old Style" w:hAnsi="Bookman Old Style"/>
          <w:sz w:val="28"/>
          <w:szCs w:val="28"/>
        </w:rPr>
        <w:t xml:space="preserve"> </w:t>
      </w:r>
      <w:r w:rsidR="00B67814">
        <w:rPr>
          <w:rFonts w:ascii="Bookman Old Style" w:hAnsi="Bookman Old Style"/>
          <w:sz w:val="28"/>
          <w:szCs w:val="28"/>
        </w:rPr>
        <w:t xml:space="preserve">aware </w:t>
      </w:r>
      <w:r w:rsidR="00972464">
        <w:rPr>
          <w:rFonts w:ascii="Bookman Old Style" w:hAnsi="Bookman Old Style"/>
          <w:sz w:val="28"/>
          <w:szCs w:val="28"/>
        </w:rPr>
        <w:t xml:space="preserve">of the transaction.  </w:t>
      </w:r>
      <w:r w:rsidR="00DB0E58">
        <w:rPr>
          <w:rFonts w:ascii="Bookman Old Style" w:hAnsi="Bookman Old Style"/>
          <w:sz w:val="28"/>
          <w:szCs w:val="28"/>
        </w:rPr>
        <w:t xml:space="preserve">Mr. </w:t>
      </w:r>
      <w:proofErr w:type="spellStart"/>
      <w:r w:rsidR="00DB0E58">
        <w:rPr>
          <w:rFonts w:ascii="Bookman Old Style" w:hAnsi="Bookman Old Style"/>
          <w:sz w:val="28"/>
          <w:szCs w:val="28"/>
        </w:rPr>
        <w:t>Kalikit</w:t>
      </w:r>
      <w:r w:rsidR="009B5057">
        <w:rPr>
          <w:rFonts w:ascii="Bookman Old Style" w:hAnsi="Bookman Old Style"/>
          <w:sz w:val="28"/>
          <w:szCs w:val="28"/>
        </w:rPr>
        <w:t>i</w:t>
      </w:r>
      <w:proofErr w:type="spellEnd"/>
      <w:r w:rsidR="00DB0E58">
        <w:rPr>
          <w:rFonts w:ascii="Bookman Old Style" w:hAnsi="Bookman Old Style"/>
          <w:sz w:val="28"/>
          <w:szCs w:val="28"/>
        </w:rPr>
        <w:t xml:space="preserve"> contended that </w:t>
      </w:r>
      <w:r w:rsidR="00DB0E58">
        <w:rPr>
          <w:rFonts w:ascii="Bookman Old Style" w:hAnsi="Bookman Old Style"/>
          <w:sz w:val="28"/>
          <w:szCs w:val="28"/>
        </w:rPr>
        <w:lastRenderedPageBreak/>
        <w:t xml:space="preserve">the only party who will suffer irreparable injury in this case is the bank which financed the business as they will have no asset to fall on against the monies advanced.  </w:t>
      </w:r>
    </w:p>
    <w:p w:rsidR="00786E47" w:rsidRDefault="00DB0E58" w:rsidP="009B5057">
      <w:pPr>
        <w:spacing w:line="480" w:lineRule="auto"/>
        <w:ind w:firstLine="720"/>
        <w:jc w:val="both"/>
        <w:rPr>
          <w:rFonts w:ascii="Bookman Old Style" w:hAnsi="Bookman Old Style"/>
          <w:sz w:val="28"/>
          <w:szCs w:val="28"/>
        </w:rPr>
      </w:pPr>
      <w:r>
        <w:rPr>
          <w:rFonts w:ascii="Bookman Old Style" w:hAnsi="Bookman Old Style"/>
          <w:sz w:val="28"/>
          <w:szCs w:val="28"/>
        </w:rPr>
        <w:t>In re</w:t>
      </w:r>
      <w:r w:rsidR="009B5057">
        <w:rPr>
          <w:rFonts w:ascii="Bookman Old Style" w:hAnsi="Bookman Old Style"/>
          <w:sz w:val="28"/>
          <w:szCs w:val="28"/>
        </w:rPr>
        <w:t>sponse,</w:t>
      </w:r>
      <w:r>
        <w:rPr>
          <w:rFonts w:ascii="Bookman Old Style" w:hAnsi="Bookman Old Style"/>
          <w:sz w:val="28"/>
          <w:szCs w:val="28"/>
        </w:rPr>
        <w:t xml:space="preserve"> Mr. </w:t>
      </w:r>
      <w:proofErr w:type="spellStart"/>
      <w:r>
        <w:rPr>
          <w:rFonts w:ascii="Bookman Old Style" w:hAnsi="Bookman Old Style"/>
          <w:sz w:val="28"/>
          <w:szCs w:val="28"/>
        </w:rPr>
        <w:t>Mainza</w:t>
      </w:r>
      <w:proofErr w:type="spellEnd"/>
      <w:r>
        <w:rPr>
          <w:rFonts w:ascii="Bookman Old Style" w:hAnsi="Bookman Old Style"/>
          <w:sz w:val="28"/>
          <w:szCs w:val="28"/>
        </w:rPr>
        <w:t xml:space="preserve"> submitted that </w:t>
      </w:r>
      <w:r w:rsidR="0087216A">
        <w:rPr>
          <w:rFonts w:ascii="Bookman Old Style" w:hAnsi="Bookman Old Style"/>
          <w:sz w:val="28"/>
          <w:szCs w:val="28"/>
        </w:rPr>
        <w:t>both affidavits show</w:t>
      </w:r>
      <w:r w:rsidR="008C6B80">
        <w:rPr>
          <w:rFonts w:ascii="Bookman Old Style" w:hAnsi="Bookman Old Style"/>
          <w:sz w:val="28"/>
          <w:szCs w:val="28"/>
        </w:rPr>
        <w:t xml:space="preserve"> that</w:t>
      </w:r>
      <w:r w:rsidR="0087216A">
        <w:rPr>
          <w:rFonts w:ascii="Bookman Old Style" w:hAnsi="Bookman Old Style"/>
          <w:sz w:val="28"/>
          <w:szCs w:val="28"/>
        </w:rPr>
        <w:t xml:space="preserve"> the person who pledged the subdivision had no authority to do so because he was not the legal owner of the property he was subdividing and that he did not obtain</w:t>
      </w:r>
      <w:r w:rsidR="009B5057">
        <w:rPr>
          <w:rFonts w:ascii="Bookman Old Style" w:hAnsi="Bookman Old Style"/>
          <w:sz w:val="28"/>
          <w:szCs w:val="28"/>
        </w:rPr>
        <w:t xml:space="preserve"> </w:t>
      </w:r>
      <w:r w:rsidR="0087216A">
        <w:rPr>
          <w:rFonts w:ascii="Bookman Old Style" w:hAnsi="Bookman Old Style"/>
          <w:sz w:val="28"/>
          <w:szCs w:val="28"/>
        </w:rPr>
        <w:t>the consent of the administrator.  That in</w:t>
      </w:r>
      <w:r w:rsidR="008C6B80">
        <w:rPr>
          <w:rFonts w:ascii="Bookman Old Style" w:hAnsi="Bookman Old Style"/>
          <w:sz w:val="28"/>
          <w:szCs w:val="28"/>
        </w:rPr>
        <w:t xml:space="preserve"> </w:t>
      </w:r>
      <w:r w:rsidR="0087216A">
        <w:rPr>
          <w:rFonts w:ascii="Bookman Old Style" w:hAnsi="Bookman Old Style"/>
          <w:sz w:val="28"/>
          <w:szCs w:val="28"/>
        </w:rPr>
        <w:t xml:space="preserve">fact nothing has been produced by the bank to show that the person whom they advanced the banking facility to had the authority </w:t>
      </w:r>
      <w:r w:rsidR="00C02F12">
        <w:rPr>
          <w:rFonts w:ascii="Bookman Old Style" w:hAnsi="Bookman Old Style"/>
          <w:sz w:val="28"/>
          <w:szCs w:val="28"/>
        </w:rPr>
        <w:t xml:space="preserve">to </w:t>
      </w:r>
      <w:r w:rsidR="0087216A">
        <w:rPr>
          <w:rFonts w:ascii="Bookman Old Style" w:hAnsi="Bookman Old Style"/>
          <w:sz w:val="28"/>
          <w:szCs w:val="28"/>
        </w:rPr>
        <w:t>mortgage a portion of the deceased’s estate which they are calling a subdivision.  He argued that the instruction</w:t>
      </w:r>
      <w:r w:rsidR="00C02F12">
        <w:rPr>
          <w:rFonts w:ascii="Bookman Old Style" w:hAnsi="Bookman Old Style"/>
          <w:sz w:val="28"/>
          <w:szCs w:val="28"/>
        </w:rPr>
        <w:t>s</w:t>
      </w:r>
      <w:r w:rsidR="009B5057">
        <w:rPr>
          <w:rFonts w:ascii="Bookman Old Style" w:hAnsi="Bookman Old Style"/>
          <w:sz w:val="28"/>
          <w:szCs w:val="28"/>
        </w:rPr>
        <w:t xml:space="preserve"> to AKM</w:t>
      </w:r>
      <w:r w:rsidR="0087216A">
        <w:rPr>
          <w:rFonts w:ascii="Bookman Old Style" w:hAnsi="Bookman Old Style"/>
          <w:sz w:val="28"/>
          <w:szCs w:val="28"/>
        </w:rPr>
        <w:t xml:space="preserve"> Legal </w:t>
      </w:r>
      <w:r w:rsidR="00C02F12">
        <w:rPr>
          <w:rFonts w:ascii="Bookman Old Style" w:hAnsi="Bookman Old Style"/>
          <w:sz w:val="28"/>
          <w:szCs w:val="28"/>
        </w:rPr>
        <w:t>Practitioners</w:t>
      </w:r>
      <w:r w:rsidR="0087216A">
        <w:rPr>
          <w:rFonts w:ascii="Bookman Old Style" w:hAnsi="Bookman Old Style"/>
          <w:sz w:val="28"/>
          <w:szCs w:val="28"/>
        </w:rPr>
        <w:t xml:space="preserve"> </w:t>
      </w:r>
      <w:r w:rsidR="008C6B80">
        <w:rPr>
          <w:rFonts w:ascii="Bookman Old Style" w:hAnsi="Bookman Old Style"/>
          <w:sz w:val="28"/>
          <w:szCs w:val="28"/>
        </w:rPr>
        <w:t xml:space="preserve">by </w:t>
      </w:r>
      <w:proofErr w:type="spellStart"/>
      <w:r w:rsidR="008C6B80">
        <w:rPr>
          <w:rFonts w:ascii="Bookman Old Style" w:hAnsi="Bookman Old Style"/>
          <w:sz w:val="28"/>
          <w:szCs w:val="28"/>
        </w:rPr>
        <w:t>Ni</w:t>
      </w:r>
      <w:r w:rsidR="009740E7">
        <w:rPr>
          <w:rFonts w:ascii="Bookman Old Style" w:hAnsi="Bookman Old Style"/>
          <w:sz w:val="28"/>
          <w:szCs w:val="28"/>
        </w:rPr>
        <w:t>e</w:t>
      </w:r>
      <w:r w:rsidR="008C6B80">
        <w:rPr>
          <w:rFonts w:ascii="Bookman Old Style" w:hAnsi="Bookman Old Style"/>
          <w:sz w:val="28"/>
          <w:szCs w:val="28"/>
        </w:rPr>
        <w:t>l</w:t>
      </w:r>
      <w:proofErr w:type="spellEnd"/>
      <w:r w:rsidR="005C260C">
        <w:rPr>
          <w:rFonts w:ascii="Bookman Old Style" w:hAnsi="Bookman Old Style"/>
          <w:sz w:val="28"/>
          <w:szCs w:val="28"/>
        </w:rPr>
        <w:t xml:space="preserve"> Paul</w:t>
      </w:r>
      <w:r w:rsidR="008C6B80">
        <w:rPr>
          <w:rFonts w:ascii="Bookman Old Style" w:hAnsi="Bookman Old Style"/>
          <w:sz w:val="28"/>
          <w:szCs w:val="28"/>
        </w:rPr>
        <w:t xml:space="preserve"> </w:t>
      </w:r>
      <w:proofErr w:type="spellStart"/>
      <w:r w:rsidR="008C6B80">
        <w:rPr>
          <w:rFonts w:ascii="Bookman Old Style" w:hAnsi="Bookman Old Style"/>
          <w:sz w:val="28"/>
          <w:szCs w:val="28"/>
        </w:rPr>
        <w:t>Sillitoe</w:t>
      </w:r>
      <w:proofErr w:type="spellEnd"/>
      <w:r w:rsidR="00C02F12">
        <w:rPr>
          <w:rFonts w:ascii="Bookman Old Style" w:hAnsi="Bookman Old Style"/>
          <w:sz w:val="28"/>
          <w:szCs w:val="28"/>
        </w:rPr>
        <w:t xml:space="preserve"> to subdivide the property were legal and that all </w:t>
      </w:r>
      <w:r w:rsidR="005C260C">
        <w:rPr>
          <w:rFonts w:ascii="Bookman Old Style" w:hAnsi="Bookman Old Style"/>
          <w:sz w:val="28"/>
          <w:szCs w:val="28"/>
        </w:rPr>
        <w:t xml:space="preserve">transactions </w:t>
      </w:r>
      <w:r w:rsidR="00C02F12">
        <w:rPr>
          <w:rFonts w:ascii="Bookman Old Style" w:hAnsi="Bookman Old Style"/>
          <w:sz w:val="28"/>
          <w:szCs w:val="28"/>
        </w:rPr>
        <w:t xml:space="preserve">arising from those instructions are null and void including the purported mortgage in favour of the bank.  </w:t>
      </w:r>
      <w:r w:rsidR="009B5057">
        <w:rPr>
          <w:rFonts w:ascii="Bookman Old Style" w:hAnsi="Bookman Old Style"/>
          <w:sz w:val="28"/>
          <w:szCs w:val="28"/>
        </w:rPr>
        <w:t>T</w:t>
      </w:r>
      <w:r w:rsidR="00C02F12">
        <w:rPr>
          <w:rFonts w:ascii="Bookman Old Style" w:hAnsi="Bookman Old Style"/>
          <w:sz w:val="28"/>
          <w:szCs w:val="28"/>
        </w:rPr>
        <w:t xml:space="preserve">hat the equitable mortgage alluded to </w:t>
      </w:r>
      <w:r w:rsidR="008C6B80">
        <w:rPr>
          <w:rFonts w:ascii="Bookman Old Style" w:hAnsi="Bookman Old Style"/>
          <w:sz w:val="28"/>
          <w:szCs w:val="28"/>
        </w:rPr>
        <w:t>does not exist as the title deed w</w:t>
      </w:r>
      <w:r w:rsidR="005C260C">
        <w:rPr>
          <w:rFonts w:ascii="Bookman Old Style" w:hAnsi="Bookman Old Style"/>
          <w:sz w:val="28"/>
          <w:szCs w:val="28"/>
        </w:rPr>
        <w:t>as</w:t>
      </w:r>
      <w:r w:rsidR="008C6B80">
        <w:rPr>
          <w:rFonts w:ascii="Bookman Old Style" w:hAnsi="Bookman Old Style"/>
          <w:sz w:val="28"/>
          <w:szCs w:val="28"/>
        </w:rPr>
        <w:t xml:space="preserve"> never lodged with the bank.  He submitted that this is </w:t>
      </w:r>
      <w:r w:rsidR="005C260C">
        <w:rPr>
          <w:rFonts w:ascii="Bookman Old Style" w:hAnsi="Bookman Old Style"/>
          <w:sz w:val="28"/>
          <w:szCs w:val="28"/>
        </w:rPr>
        <w:t>a</w:t>
      </w:r>
      <w:r w:rsidR="008C6B80">
        <w:rPr>
          <w:rFonts w:ascii="Bookman Old Style" w:hAnsi="Bookman Old Style"/>
          <w:sz w:val="28"/>
          <w:szCs w:val="28"/>
        </w:rPr>
        <w:t xml:space="preserve"> proper case in which this Court ought to grant a stay of sale of the property in question in order to enable the Supreme Court examine the transaction to ascertain whether it is in conformity </w:t>
      </w:r>
      <w:r w:rsidR="001F3EAC">
        <w:rPr>
          <w:rFonts w:ascii="Bookman Old Style" w:hAnsi="Bookman Old Style"/>
          <w:sz w:val="28"/>
          <w:szCs w:val="28"/>
        </w:rPr>
        <w:t>with the</w:t>
      </w:r>
      <w:r w:rsidR="008C6B80">
        <w:rPr>
          <w:rFonts w:ascii="Bookman Old Style" w:hAnsi="Bookman Old Style"/>
          <w:sz w:val="28"/>
          <w:szCs w:val="28"/>
        </w:rPr>
        <w:t xml:space="preserve"> law.  </w:t>
      </w:r>
    </w:p>
    <w:p w:rsidR="004C535B" w:rsidRDefault="004C535B" w:rsidP="001F3EA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 have considered the application together with the affidavit evidence filed on behalf of the parties and the submissions by learned Counsel.</w:t>
      </w:r>
    </w:p>
    <w:p w:rsidR="00AA312D" w:rsidRDefault="004C535B" w:rsidP="001F3EAC">
      <w:pPr>
        <w:spacing w:line="480" w:lineRule="auto"/>
        <w:ind w:firstLine="720"/>
        <w:jc w:val="both"/>
        <w:rPr>
          <w:rFonts w:ascii="Bookman Old Style" w:hAnsi="Bookman Old Style"/>
          <w:sz w:val="28"/>
          <w:szCs w:val="28"/>
        </w:rPr>
      </w:pPr>
      <w:r>
        <w:rPr>
          <w:rFonts w:ascii="Bookman Old Style" w:hAnsi="Bookman Old Style"/>
          <w:sz w:val="28"/>
          <w:szCs w:val="28"/>
        </w:rPr>
        <w:t>It is common cause that the property in issue was offered as security to the 1</w:t>
      </w:r>
      <w:r w:rsidRPr="004C535B">
        <w:rPr>
          <w:rFonts w:ascii="Bookman Old Style" w:hAnsi="Bookman Old Style"/>
          <w:sz w:val="28"/>
          <w:szCs w:val="28"/>
          <w:vertAlign w:val="superscript"/>
        </w:rPr>
        <w:t>st</w:t>
      </w:r>
      <w:r>
        <w:rPr>
          <w:rFonts w:ascii="Bookman Old Style" w:hAnsi="Bookman Old Style"/>
          <w:sz w:val="28"/>
          <w:szCs w:val="28"/>
        </w:rPr>
        <w:t xml:space="preserve"> Respondent </w:t>
      </w:r>
      <w:r w:rsidR="00310D45">
        <w:rPr>
          <w:rFonts w:ascii="Bookman Old Style" w:hAnsi="Bookman Old Style"/>
          <w:sz w:val="28"/>
          <w:szCs w:val="28"/>
        </w:rPr>
        <w:t xml:space="preserve">by </w:t>
      </w:r>
      <w:r>
        <w:rPr>
          <w:rFonts w:ascii="Bookman Old Style" w:hAnsi="Bookman Old Style"/>
          <w:sz w:val="28"/>
          <w:szCs w:val="28"/>
        </w:rPr>
        <w:t xml:space="preserve">Neil Paul </w:t>
      </w:r>
      <w:proofErr w:type="spellStart"/>
      <w:r>
        <w:rPr>
          <w:rFonts w:ascii="Bookman Old Style" w:hAnsi="Bookman Old Style"/>
          <w:sz w:val="28"/>
          <w:szCs w:val="28"/>
        </w:rPr>
        <w:t>Sillitoe</w:t>
      </w:r>
      <w:proofErr w:type="spellEnd"/>
      <w:r w:rsidR="005C260C">
        <w:rPr>
          <w:rFonts w:ascii="Bookman Old Style" w:hAnsi="Bookman Old Style"/>
          <w:sz w:val="28"/>
          <w:szCs w:val="28"/>
        </w:rPr>
        <w:t>,</w:t>
      </w:r>
      <w:r>
        <w:rPr>
          <w:rFonts w:ascii="Bookman Old Style" w:hAnsi="Bookman Old Style"/>
          <w:sz w:val="28"/>
          <w:szCs w:val="28"/>
        </w:rPr>
        <w:t xml:space="preserve"> a Director in the 2</w:t>
      </w:r>
      <w:r w:rsidRPr="004C535B">
        <w:rPr>
          <w:rFonts w:ascii="Bookman Old Style" w:hAnsi="Bookman Old Style"/>
          <w:sz w:val="28"/>
          <w:szCs w:val="28"/>
          <w:vertAlign w:val="superscript"/>
        </w:rPr>
        <w:t>nd</w:t>
      </w:r>
      <w:r>
        <w:rPr>
          <w:rFonts w:ascii="Bookman Old Style" w:hAnsi="Bookman Old Style"/>
          <w:sz w:val="28"/>
          <w:szCs w:val="28"/>
        </w:rPr>
        <w:t xml:space="preserve"> Respondent </w:t>
      </w:r>
      <w:r w:rsidR="00FB5787">
        <w:rPr>
          <w:rFonts w:ascii="Bookman Old Style" w:hAnsi="Bookman Old Style"/>
          <w:sz w:val="28"/>
          <w:szCs w:val="28"/>
        </w:rPr>
        <w:t>Company</w:t>
      </w:r>
      <w:r>
        <w:rPr>
          <w:rFonts w:ascii="Bookman Old Style" w:hAnsi="Bookman Old Style"/>
          <w:sz w:val="28"/>
          <w:szCs w:val="28"/>
        </w:rPr>
        <w:t>.  That AKM</w:t>
      </w:r>
      <w:r w:rsidR="004510E4">
        <w:rPr>
          <w:rFonts w:ascii="Bookman Old Style" w:hAnsi="Bookman Old Style"/>
          <w:sz w:val="28"/>
          <w:szCs w:val="28"/>
        </w:rPr>
        <w:t xml:space="preserve"> </w:t>
      </w:r>
      <w:r w:rsidR="00FB5787">
        <w:rPr>
          <w:rFonts w:ascii="Bookman Old Style" w:hAnsi="Bookman Old Style"/>
          <w:sz w:val="28"/>
          <w:szCs w:val="28"/>
        </w:rPr>
        <w:t xml:space="preserve">Legal Practitioners were handling the subdivision of the property in issue on instructions from the </w:t>
      </w:r>
      <w:proofErr w:type="spellStart"/>
      <w:r w:rsidR="00FB5787">
        <w:rPr>
          <w:rFonts w:ascii="Bookman Old Style" w:hAnsi="Bookman Old Style"/>
          <w:sz w:val="28"/>
          <w:szCs w:val="28"/>
        </w:rPr>
        <w:t>Niel</w:t>
      </w:r>
      <w:proofErr w:type="spellEnd"/>
      <w:r w:rsidR="00FB5787">
        <w:rPr>
          <w:rFonts w:ascii="Bookman Old Style" w:hAnsi="Bookman Old Style"/>
          <w:sz w:val="28"/>
          <w:szCs w:val="28"/>
        </w:rPr>
        <w:t xml:space="preserve"> Paul </w:t>
      </w:r>
      <w:proofErr w:type="spellStart"/>
      <w:r w:rsidR="00FB5787">
        <w:rPr>
          <w:rFonts w:ascii="Bookman Old Style" w:hAnsi="Bookman Old Style"/>
          <w:sz w:val="28"/>
          <w:szCs w:val="28"/>
        </w:rPr>
        <w:t>Sillitoe</w:t>
      </w:r>
      <w:proofErr w:type="spellEnd"/>
      <w:r w:rsidR="00FB5787">
        <w:rPr>
          <w:rFonts w:ascii="Bookman Old Style" w:hAnsi="Bookman Old Style"/>
          <w:sz w:val="28"/>
          <w:szCs w:val="28"/>
        </w:rPr>
        <w:t xml:space="preserve">.  </w:t>
      </w:r>
      <w:proofErr w:type="gramStart"/>
      <w:r w:rsidR="00FB5787">
        <w:rPr>
          <w:rFonts w:ascii="Bookman Old Style" w:hAnsi="Bookman Old Style"/>
          <w:sz w:val="28"/>
          <w:szCs w:val="28"/>
        </w:rPr>
        <w:t xml:space="preserve">That the title deeds are in the name of late Alexander Paul </w:t>
      </w:r>
      <w:proofErr w:type="spellStart"/>
      <w:r w:rsidR="00FB5787">
        <w:rPr>
          <w:rFonts w:ascii="Bookman Old Style" w:hAnsi="Bookman Old Style"/>
          <w:sz w:val="28"/>
          <w:szCs w:val="28"/>
        </w:rPr>
        <w:t>Sillitoe</w:t>
      </w:r>
      <w:proofErr w:type="spellEnd"/>
      <w:r w:rsidR="00FB5787">
        <w:rPr>
          <w:rFonts w:ascii="Bookman Old Style" w:hAnsi="Bookman Old Style"/>
          <w:sz w:val="28"/>
          <w:szCs w:val="28"/>
        </w:rPr>
        <w:t>.</w:t>
      </w:r>
      <w:proofErr w:type="gramEnd"/>
      <w:r w:rsidR="00FB5787">
        <w:rPr>
          <w:rFonts w:ascii="Bookman Old Style" w:hAnsi="Bookman Old Style"/>
          <w:sz w:val="28"/>
          <w:szCs w:val="28"/>
        </w:rPr>
        <w:t xml:space="preserve">  The Appellant is the </w:t>
      </w:r>
      <w:r w:rsidR="00310D45">
        <w:rPr>
          <w:rFonts w:ascii="Bookman Old Style" w:hAnsi="Bookman Old Style"/>
          <w:sz w:val="28"/>
          <w:szCs w:val="28"/>
        </w:rPr>
        <w:t xml:space="preserve">administrator of the </w:t>
      </w:r>
      <w:r w:rsidR="00FB5787">
        <w:rPr>
          <w:rFonts w:ascii="Bookman Old Style" w:hAnsi="Bookman Old Style"/>
          <w:sz w:val="28"/>
          <w:szCs w:val="28"/>
        </w:rPr>
        <w:t>estate and claims that he never consented to the property being offered as collateral to the 1</w:t>
      </w:r>
      <w:r w:rsidR="00FB5787" w:rsidRPr="00FB5787">
        <w:rPr>
          <w:rFonts w:ascii="Bookman Old Style" w:hAnsi="Bookman Old Style"/>
          <w:sz w:val="28"/>
          <w:szCs w:val="28"/>
          <w:vertAlign w:val="superscript"/>
        </w:rPr>
        <w:t>st</w:t>
      </w:r>
      <w:r w:rsidR="00FB5787">
        <w:rPr>
          <w:rFonts w:ascii="Bookman Old Style" w:hAnsi="Bookman Old Style"/>
          <w:sz w:val="28"/>
          <w:szCs w:val="28"/>
        </w:rPr>
        <w:t xml:space="preserve"> Respondent.  </w:t>
      </w:r>
      <w:proofErr w:type="gramStart"/>
      <w:r w:rsidR="00FB5787">
        <w:rPr>
          <w:rFonts w:ascii="Bookman Old Style" w:hAnsi="Bookman Old Style"/>
          <w:sz w:val="28"/>
          <w:szCs w:val="28"/>
        </w:rPr>
        <w:t>That the title deeds have always been in the custody of the Appellant.</w:t>
      </w:r>
      <w:proofErr w:type="gramEnd"/>
      <w:r w:rsidR="00FB5787">
        <w:rPr>
          <w:rFonts w:ascii="Bookman Old Style" w:hAnsi="Bookman Old Style"/>
          <w:sz w:val="28"/>
          <w:szCs w:val="28"/>
        </w:rPr>
        <w:t xml:space="preserve">  </w:t>
      </w:r>
    </w:p>
    <w:p w:rsidR="007848C6" w:rsidRDefault="007848C6" w:rsidP="001F3EAC">
      <w:pPr>
        <w:spacing w:line="480" w:lineRule="auto"/>
        <w:ind w:firstLine="720"/>
        <w:jc w:val="both"/>
        <w:rPr>
          <w:rFonts w:ascii="Bookman Old Style" w:hAnsi="Bookman Old Style"/>
          <w:sz w:val="28"/>
          <w:szCs w:val="28"/>
        </w:rPr>
      </w:pPr>
      <w:r>
        <w:rPr>
          <w:rFonts w:ascii="Bookman Old Style" w:hAnsi="Bookman Old Style"/>
          <w:sz w:val="28"/>
          <w:szCs w:val="28"/>
        </w:rPr>
        <w:t>I must say that this case raises a lot of important questions</w:t>
      </w:r>
      <w:r w:rsidR="00310D45">
        <w:rPr>
          <w:rFonts w:ascii="Bookman Old Style" w:hAnsi="Bookman Old Style"/>
          <w:sz w:val="28"/>
          <w:szCs w:val="28"/>
        </w:rPr>
        <w:t>:</w:t>
      </w:r>
      <w:r w:rsidR="005C260C">
        <w:rPr>
          <w:rFonts w:ascii="Bookman Old Style" w:hAnsi="Bookman Old Style"/>
          <w:sz w:val="28"/>
          <w:szCs w:val="28"/>
        </w:rPr>
        <w:t xml:space="preserve"> Did Nil Paul </w:t>
      </w:r>
      <w:proofErr w:type="spellStart"/>
      <w:r w:rsidR="005C260C">
        <w:rPr>
          <w:rFonts w:ascii="Bookman Old Style" w:hAnsi="Bookman Old Style"/>
          <w:sz w:val="28"/>
          <w:szCs w:val="28"/>
        </w:rPr>
        <w:t>Sillitoe</w:t>
      </w:r>
      <w:proofErr w:type="spellEnd"/>
      <w:r w:rsidR="005C260C">
        <w:rPr>
          <w:rFonts w:ascii="Bookman Old Style" w:hAnsi="Bookman Old Style"/>
          <w:sz w:val="28"/>
          <w:szCs w:val="28"/>
        </w:rPr>
        <w:t xml:space="preserve"> have the authority to offer the property as security got his loan?  H</w:t>
      </w:r>
      <w:r>
        <w:rPr>
          <w:rFonts w:ascii="Bookman Old Style" w:hAnsi="Bookman Old Style"/>
          <w:sz w:val="28"/>
          <w:szCs w:val="28"/>
        </w:rPr>
        <w:t xml:space="preserve">ow was the property offered as security without the knowledge of the administrator of the estate who </w:t>
      </w:r>
      <w:r w:rsidR="00310D45">
        <w:rPr>
          <w:rFonts w:ascii="Bookman Old Style" w:hAnsi="Bookman Old Style"/>
          <w:sz w:val="28"/>
          <w:szCs w:val="28"/>
        </w:rPr>
        <w:t>had</w:t>
      </w:r>
      <w:r>
        <w:rPr>
          <w:rFonts w:ascii="Bookman Old Style" w:hAnsi="Bookman Old Style"/>
          <w:sz w:val="28"/>
          <w:szCs w:val="28"/>
        </w:rPr>
        <w:t xml:space="preserve"> custody of title deeds which are </w:t>
      </w:r>
      <w:r w:rsidR="005C260C">
        <w:rPr>
          <w:rFonts w:ascii="Bookman Old Style" w:hAnsi="Bookman Old Style"/>
          <w:sz w:val="28"/>
          <w:szCs w:val="28"/>
        </w:rPr>
        <w:t xml:space="preserve">still </w:t>
      </w:r>
      <w:r>
        <w:rPr>
          <w:rFonts w:ascii="Bookman Old Style" w:hAnsi="Bookman Old Style"/>
          <w:sz w:val="28"/>
          <w:szCs w:val="28"/>
        </w:rPr>
        <w:t>in the name of the deceased</w:t>
      </w:r>
      <w:r w:rsidR="005C260C">
        <w:rPr>
          <w:rFonts w:ascii="Bookman Old Style" w:hAnsi="Bookman Old Style"/>
          <w:sz w:val="28"/>
          <w:szCs w:val="28"/>
        </w:rPr>
        <w:t>?</w:t>
      </w:r>
      <w:r>
        <w:rPr>
          <w:rFonts w:ascii="Bookman Old Style" w:hAnsi="Bookman Old Style"/>
          <w:sz w:val="28"/>
          <w:szCs w:val="28"/>
        </w:rPr>
        <w:t xml:space="preserve">  Did the 1</w:t>
      </w:r>
      <w:r w:rsidRPr="007848C6">
        <w:rPr>
          <w:rFonts w:ascii="Bookman Old Style" w:hAnsi="Bookman Old Style"/>
          <w:sz w:val="28"/>
          <w:szCs w:val="28"/>
          <w:vertAlign w:val="superscript"/>
        </w:rPr>
        <w:t>st</w:t>
      </w:r>
      <w:r>
        <w:rPr>
          <w:rFonts w:ascii="Bookman Old Style" w:hAnsi="Bookman Old Style"/>
          <w:sz w:val="28"/>
          <w:szCs w:val="28"/>
        </w:rPr>
        <w:t xml:space="preserve"> Respondent have an equitable mortgage over the property?  </w:t>
      </w:r>
      <w:proofErr w:type="gramStart"/>
      <w:r>
        <w:rPr>
          <w:rFonts w:ascii="Bookman Old Style" w:hAnsi="Bookman Old Style"/>
          <w:sz w:val="28"/>
          <w:szCs w:val="28"/>
        </w:rPr>
        <w:t xml:space="preserve">In my view, </w:t>
      </w:r>
      <w:r w:rsidR="00310D45">
        <w:rPr>
          <w:rFonts w:ascii="Bookman Old Style" w:hAnsi="Bookman Old Style"/>
          <w:sz w:val="28"/>
          <w:szCs w:val="28"/>
        </w:rPr>
        <w:t xml:space="preserve">if the application for </w:t>
      </w:r>
      <w:r>
        <w:rPr>
          <w:rFonts w:ascii="Bookman Old Style" w:hAnsi="Bookman Old Style"/>
          <w:sz w:val="28"/>
          <w:szCs w:val="28"/>
        </w:rPr>
        <w:t xml:space="preserve">stay of sale is not granted it will render the appeal </w:t>
      </w:r>
      <w:r w:rsidR="00310D45">
        <w:rPr>
          <w:rFonts w:ascii="Bookman Old Style" w:hAnsi="Bookman Old Style"/>
          <w:sz w:val="28"/>
          <w:szCs w:val="28"/>
        </w:rPr>
        <w:t>nugatory</w:t>
      </w:r>
      <w:r>
        <w:rPr>
          <w:rFonts w:ascii="Bookman Old Style" w:hAnsi="Bookman Old Style"/>
          <w:sz w:val="28"/>
          <w:szCs w:val="28"/>
        </w:rPr>
        <w:t>.</w:t>
      </w:r>
      <w:proofErr w:type="gramEnd"/>
      <w:r>
        <w:rPr>
          <w:rFonts w:ascii="Bookman Old Style" w:hAnsi="Bookman Old Style"/>
          <w:sz w:val="28"/>
          <w:szCs w:val="28"/>
        </w:rPr>
        <w:t xml:space="preserve">  Looking at the circumstances of this case, I feel that the appea</w:t>
      </w:r>
      <w:r w:rsidR="00310D45">
        <w:rPr>
          <w:rFonts w:ascii="Bookman Old Style" w:hAnsi="Bookman Old Style"/>
          <w:sz w:val="28"/>
          <w:szCs w:val="28"/>
        </w:rPr>
        <w:t xml:space="preserve">l has some </w:t>
      </w:r>
      <w:r w:rsidR="00310D45">
        <w:rPr>
          <w:rFonts w:ascii="Bookman Old Style" w:hAnsi="Bookman Old Style"/>
          <w:sz w:val="28"/>
          <w:szCs w:val="28"/>
        </w:rPr>
        <w:lastRenderedPageBreak/>
        <w:t>prospects of success and it will not be just to shut out the Appellant even at this stage.</w:t>
      </w:r>
    </w:p>
    <w:p w:rsidR="007848C6" w:rsidRDefault="007848C6" w:rsidP="001F3EA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premises, I grant the application as prayed.  </w:t>
      </w:r>
    </w:p>
    <w:p w:rsidR="00E70C34" w:rsidRPr="00A5016D" w:rsidRDefault="00E70C34" w:rsidP="00E70C34">
      <w:pPr>
        <w:ind w:firstLine="720"/>
        <w:rPr>
          <w:rFonts w:ascii="Bookman Old Style" w:hAnsi="Bookman Old Style"/>
          <w:b/>
          <w:sz w:val="28"/>
          <w:szCs w:val="28"/>
        </w:rPr>
      </w:pPr>
      <w:r w:rsidRPr="00A5016D">
        <w:rPr>
          <w:rFonts w:ascii="Bookman Old Style" w:hAnsi="Bookman Old Style"/>
          <w:b/>
          <w:sz w:val="28"/>
          <w:szCs w:val="28"/>
        </w:rPr>
        <w:t xml:space="preserve">Delivered in Chambers on this </w:t>
      </w:r>
      <w:r w:rsidR="005C260C">
        <w:rPr>
          <w:rFonts w:ascii="Bookman Old Style" w:hAnsi="Bookman Old Style"/>
          <w:b/>
          <w:sz w:val="28"/>
          <w:szCs w:val="28"/>
        </w:rPr>
        <w:t>23</w:t>
      </w:r>
      <w:r w:rsidR="005C260C" w:rsidRPr="005C260C">
        <w:rPr>
          <w:rFonts w:ascii="Bookman Old Style" w:hAnsi="Bookman Old Style"/>
          <w:b/>
          <w:sz w:val="28"/>
          <w:szCs w:val="28"/>
          <w:vertAlign w:val="superscript"/>
        </w:rPr>
        <w:t>rd</w:t>
      </w:r>
      <w:r w:rsidR="005C260C">
        <w:rPr>
          <w:rFonts w:ascii="Bookman Old Style" w:hAnsi="Bookman Old Style"/>
          <w:b/>
          <w:sz w:val="28"/>
          <w:szCs w:val="28"/>
        </w:rPr>
        <w:t xml:space="preserve"> </w:t>
      </w:r>
      <w:r>
        <w:rPr>
          <w:rFonts w:ascii="Bookman Old Style" w:hAnsi="Bookman Old Style"/>
          <w:b/>
          <w:sz w:val="28"/>
          <w:szCs w:val="28"/>
        </w:rPr>
        <w:t xml:space="preserve">day </w:t>
      </w:r>
      <w:r w:rsidR="00756836">
        <w:rPr>
          <w:rFonts w:ascii="Bookman Old Style" w:hAnsi="Bookman Old Style"/>
          <w:b/>
          <w:sz w:val="28"/>
          <w:szCs w:val="28"/>
        </w:rPr>
        <w:t>of May</w:t>
      </w:r>
      <w:r>
        <w:rPr>
          <w:rFonts w:ascii="Bookman Old Style" w:hAnsi="Bookman Old Style"/>
          <w:b/>
          <w:sz w:val="28"/>
          <w:szCs w:val="28"/>
        </w:rPr>
        <w:t>, 2012</w:t>
      </w:r>
    </w:p>
    <w:p w:rsidR="00E70C34" w:rsidRDefault="00E70C34" w:rsidP="00E70C34">
      <w:pPr>
        <w:spacing w:line="480" w:lineRule="auto"/>
        <w:jc w:val="both"/>
        <w:rPr>
          <w:rFonts w:ascii="Bookman Old Style" w:hAnsi="Bookman Old Style"/>
          <w:sz w:val="28"/>
          <w:szCs w:val="28"/>
        </w:rPr>
      </w:pPr>
    </w:p>
    <w:p w:rsidR="00E70C34" w:rsidRDefault="00E70C34" w:rsidP="00E70C34">
      <w:pPr>
        <w:spacing w:line="480" w:lineRule="auto"/>
        <w:jc w:val="both"/>
        <w:rPr>
          <w:rFonts w:ascii="Bookman Old Style" w:hAnsi="Bookman Old Style"/>
          <w:sz w:val="28"/>
          <w:szCs w:val="28"/>
        </w:rPr>
      </w:pPr>
    </w:p>
    <w:p w:rsidR="00E70C34" w:rsidRDefault="00E70C34" w:rsidP="00E70C34">
      <w:pPr>
        <w:spacing w:after="0" w:line="240" w:lineRule="auto"/>
        <w:ind w:firstLine="720"/>
        <w:jc w:val="center"/>
        <w:rPr>
          <w:rFonts w:ascii="Bookman Old Style" w:hAnsi="Bookman Old Style"/>
          <w:b/>
          <w:sz w:val="28"/>
          <w:szCs w:val="28"/>
        </w:rPr>
      </w:pPr>
      <w:r>
        <w:rPr>
          <w:rFonts w:ascii="Bookman Old Style" w:hAnsi="Bookman Old Style"/>
          <w:b/>
          <w:sz w:val="28"/>
          <w:szCs w:val="28"/>
        </w:rPr>
        <w:t>E.N.C. MUYOVWE</w:t>
      </w:r>
    </w:p>
    <w:p w:rsidR="00E70C34" w:rsidRDefault="00E70C34" w:rsidP="00E70C34">
      <w:pPr>
        <w:spacing w:line="240" w:lineRule="auto"/>
        <w:ind w:firstLine="720"/>
        <w:jc w:val="center"/>
        <w:rPr>
          <w:rFonts w:ascii="Bookman Old Style" w:hAnsi="Bookman Old Style"/>
          <w:b/>
          <w:sz w:val="28"/>
          <w:szCs w:val="28"/>
        </w:rPr>
      </w:pPr>
      <w:r>
        <w:rPr>
          <w:rFonts w:ascii="Bookman Old Style" w:hAnsi="Bookman Old Style"/>
          <w:b/>
          <w:sz w:val="28"/>
          <w:szCs w:val="28"/>
        </w:rPr>
        <w:t>SUPREME COURT JUDGE</w:t>
      </w:r>
    </w:p>
    <w:p w:rsidR="00E70C34" w:rsidRPr="009828F6" w:rsidRDefault="00E70C34" w:rsidP="00E70C34">
      <w:pPr>
        <w:spacing w:line="480" w:lineRule="auto"/>
        <w:ind w:firstLine="720"/>
        <w:jc w:val="center"/>
        <w:rPr>
          <w:rFonts w:ascii="Bookman Old Style" w:hAnsi="Bookman Old Style"/>
          <w:b/>
          <w:sz w:val="28"/>
          <w:szCs w:val="28"/>
        </w:rPr>
      </w:pPr>
    </w:p>
    <w:p w:rsidR="007C25F7" w:rsidRPr="003B4F51" w:rsidRDefault="007C25F7" w:rsidP="001F3EAC">
      <w:pPr>
        <w:spacing w:line="480" w:lineRule="auto"/>
        <w:ind w:firstLine="720"/>
        <w:jc w:val="both"/>
        <w:rPr>
          <w:rFonts w:ascii="Bookman Old Style" w:hAnsi="Bookman Old Style"/>
          <w:sz w:val="28"/>
          <w:szCs w:val="28"/>
        </w:rPr>
      </w:pPr>
    </w:p>
    <w:sectPr w:rsidR="007C25F7" w:rsidRPr="003B4F51" w:rsidSect="00AF042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A7" w:rsidRDefault="004E34A7" w:rsidP="001F3EAC">
      <w:pPr>
        <w:spacing w:after="0" w:line="240" w:lineRule="auto"/>
      </w:pPr>
      <w:r>
        <w:separator/>
      </w:r>
    </w:p>
  </w:endnote>
  <w:endnote w:type="continuationSeparator" w:id="0">
    <w:p w:rsidR="004E34A7" w:rsidRDefault="004E34A7" w:rsidP="001F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906567"/>
      <w:docPartObj>
        <w:docPartGallery w:val="Page Numbers (Bottom of Page)"/>
        <w:docPartUnique/>
      </w:docPartObj>
    </w:sdtPr>
    <w:sdtContent>
      <w:p w:rsidR="007848C6" w:rsidRPr="001F3EAC" w:rsidRDefault="007848C6">
        <w:pPr>
          <w:pStyle w:val="Footer"/>
          <w:jc w:val="center"/>
          <w:rPr>
            <w:b/>
          </w:rPr>
        </w:pPr>
        <w:r w:rsidRPr="001F3EAC">
          <w:rPr>
            <w:b/>
          </w:rPr>
          <w:t>R</w:t>
        </w:r>
        <w:r w:rsidR="00A562A5" w:rsidRPr="001F3EAC">
          <w:rPr>
            <w:b/>
          </w:rPr>
          <w:fldChar w:fldCharType="begin"/>
        </w:r>
        <w:r w:rsidRPr="001F3EAC">
          <w:rPr>
            <w:b/>
          </w:rPr>
          <w:instrText xml:space="preserve"> PAGE   \* MERGEFORMAT </w:instrText>
        </w:r>
        <w:r w:rsidR="00A562A5" w:rsidRPr="001F3EAC">
          <w:rPr>
            <w:b/>
          </w:rPr>
          <w:fldChar w:fldCharType="separate"/>
        </w:r>
        <w:r w:rsidR="00FD02A4">
          <w:rPr>
            <w:b/>
            <w:noProof/>
          </w:rPr>
          <w:t>9</w:t>
        </w:r>
        <w:r w:rsidR="00A562A5" w:rsidRPr="001F3EAC">
          <w:rPr>
            <w:b/>
          </w:rPr>
          <w:fldChar w:fldCharType="end"/>
        </w:r>
      </w:p>
    </w:sdtContent>
  </w:sdt>
  <w:p w:rsidR="007848C6" w:rsidRDefault="0078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A7" w:rsidRDefault="004E34A7" w:rsidP="001F3EAC">
      <w:pPr>
        <w:spacing w:after="0" w:line="240" w:lineRule="auto"/>
      </w:pPr>
      <w:r>
        <w:separator/>
      </w:r>
    </w:p>
  </w:footnote>
  <w:footnote w:type="continuationSeparator" w:id="0">
    <w:p w:rsidR="004E34A7" w:rsidRDefault="004E34A7" w:rsidP="001F3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90B"/>
    <w:multiLevelType w:val="hybridMultilevel"/>
    <w:tmpl w:val="787A606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51FB44D6"/>
    <w:multiLevelType w:val="hybridMultilevel"/>
    <w:tmpl w:val="13AE67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BA7A5E"/>
    <w:multiLevelType w:val="hybridMultilevel"/>
    <w:tmpl w:val="9B161A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77073B2"/>
    <w:multiLevelType w:val="hybridMultilevel"/>
    <w:tmpl w:val="86FC0E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35F0"/>
    <w:rsid w:val="00005AA5"/>
    <w:rsid w:val="000529BC"/>
    <w:rsid w:val="000C0EB0"/>
    <w:rsid w:val="000E3782"/>
    <w:rsid w:val="000E5473"/>
    <w:rsid w:val="00107A30"/>
    <w:rsid w:val="001F3EAC"/>
    <w:rsid w:val="002E18EC"/>
    <w:rsid w:val="002E7C56"/>
    <w:rsid w:val="002F196A"/>
    <w:rsid w:val="00310D45"/>
    <w:rsid w:val="00390741"/>
    <w:rsid w:val="003B4F51"/>
    <w:rsid w:val="003F1C2B"/>
    <w:rsid w:val="004510E4"/>
    <w:rsid w:val="004C535B"/>
    <w:rsid w:val="004D2F01"/>
    <w:rsid w:val="004E34A7"/>
    <w:rsid w:val="004F62E5"/>
    <w:rsid w:val="00560291"/>
    <w:rsid w:val="005C260C"/>
    <w:rsid w:val="005D585F"/>
    <w:rsid w:val="006306BC"/>
    <w:rsid w:val="0069262B"/>
    <w:rsid w:val="00713F32"/>
    <w:rsid w:val="007435F0"/>
    <w:rsid w:val="00756836"/>
    <w:rsid w:val="007848C6"/>
    <w:rsid w:val="00786E47"/>
    <w:rsid w:val="007C1F73"/>
    <w:rsid w:val="007C25F7"/>
    <w:rsid w:val="007C37B2"/>
    <w:rsid w:val="008310C5"/>
    <w:rsid w:val="00867227"/>
    <w:rsid w:val="0087216A"/>
    <w:rsid w:val="008B0F1B"/>
    <w:rsid w:val="008C0474"/>
    <w:rsid w:val="008C6B80"/>
    <w:rsid w:val="008D2C70"/>
    <w:rsid w:val="009166FC"/>
    <w:rsid w:val="00972464"/>
    <w:rsid w:val="009740E7"/>
    <w:rsid w:val="009B363C"/>
    <w:rsid w:val="009B5057"/>
    <w:rsid w:val="009D35D5"/>
    <w:rsid w:val="00A06212"/>
    <w:rsid w:val="00A562A5"/>
    <w:rsid w:val="00A706D1"/>
    <w:rsid w:val="00AA312D"/>
    <w:rsid w:val="00AF0426"/>
    <w:rsid w:val="00B67814"/>
    <w:rsid w:val="00B82B35"/>
    <w:rsid w:val="00B92815"/>
    <w:rsid w:val="00C02F12"/>
    <w:rsid w:val="00C44C32"/>
    <w:rsid w:val="00C96E6D"/>
    <w:rsid w:val="00CD255E"/>
    <w:rsid w:val="00CE0C20"/>
    <w:rsid w:val="00DA3A48"/>
    <w:rsid w:val="00DB0E58"/>
    <w:rsid w:val="00E70C34"/>
    <w:rsid w:val="00E762DF"/>
    <w:rsid w:val="00E90029"/>
    <w:rsid w:val="00FB5787"/>
    <w:rsid w:val="00FD02A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EAC"/>
  </w:style>
  <w:style w:type="paragraph" w:styleId="Footer">
    <w:name w:val="footer"/>
    <w:basedOn w:val="Normal"/>
    <w:link w:val="FooterChar"/>
    <w:uiPriority w:val="99"/>
    <w:unhideWhenUsed/>
    <w:rsid w:val="001F3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EAC"/>
  </w:style>
  <w:style w:type="paragraph" w:styleId="ListParagraph">
    <w:name w:val="List Paragraph"/>
    <w:basedOn w:val="Normal"/>
    <w:uiPriority w:val="34"/>
    <w:qFormat/>
    <w:rsid w:val="00E70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2012-05-31T08:59:00Z</dcterms:created>
  <dcterms:modified xsi:type="dcterms:W3CDTF">2012-05-31T08:59:00Z</dcterms:modified>
</cp:coreProperties>
</file>