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6" w:rsidRPr="00DF0A89" w:rsidRDefault="00476473" w:rsidP="00E8034B">
      <w:pPr>
        <w:spacing w:line="360" w:lineRule="auto"/>
        <w:jc w:val="both"/>
        <w:rPr>
          <w:rFonts w:ascii="Bookman Old Style" w:hAnsi="Bookman Old Style"/>
          <w:b/>
          <w:sz w:val="24"/>
          <w:szCs w:val="24"/>
        </w:rPr>
      </w:pPr>
      <w:r w:rsidRPr="00DF0A89">
        <w:rPr>
          <w:rFonts w:ascii="Bookman Old Style" w:hAnsi="Bookman Old Style"/>
          <w:b/>
          <w:sz w:val="24"/>
          <w:szCs w:val="24"/>
        </w:rPr>
        <w:t>IN</w:t>
      </w:r>
      <w:r w:rsidR="00DF0A89" w:rsidRPr="00DF0A89">
        <w:rPr>
          <w:rFonts w:ascii="Bookman Old Style" w:hAnsi="Bookman Old Style"/>
          <w:b/>
          <w:sz w:val="24"/>
          <w:szCs w:val="24"/>
        </w:rPr>
        <w:t xml:space="preserve"> THE HIGH COURT OF ZAMBIA</w:t>
      </w:r>
      <w:r w:rsidR="00DF0A89" w:rsidRPr="00DF0A89">
        <w:rPr>
          <w:rFonts w:ascii="Bookman Old Style" w:hAnsi="Bookman Old Style"/>
          <w:b/>
          <w:sz w:val="24"/>
          <w:szCs w:val="24"/>
        </w:rPr>
        <w:tab/>
      </w:r>
      <w:r w:rsidR="00DF0A89" w:rsidRPr="00DF0A89">
        <w:rPr>
          <w:rFonts w:ascii="Bookman Old Style" w:hAnsi="Bookman Old Style"/>
          <w:b/>
          <w:sz w:val="24"/>
          <w:szCs w:val="24"/>
        </w:rPr>
        <w:tab/>
      </w:r>
      <w:r w:rsidR="00DF0A89" w:rsidRPr="00DF0A89">
        <w:rPr>
          <w:rFonts w:ascii="Bookman Old Style" w:hAnsi="Bookman Old Style"/>
          <w:b/>
          <w:sz w:val="24"/>
          <w:szCs w:val="24"/>
        </w:rPr>
        <w:tab/>
      </w:r>
      <w:r w:rsidR="00DF0A89" w:rsidRPr="00DF0A89">
        <w:rPr>
          <w:rFonts w:ascii="Bookman Old Style" w:hAnsi="Bookman Old Style"/>
          <w:b/>
          <w:sz w:val="24"/>
          <w:szCs w:val="24"/>
        </w:rPr>
        <w:tab/>
      </w:r>
      <w:r w:rsidR="00DF0A89" w:rsidRPr="00DF0A89">
        <w:rPr>
          <w:rFonts w:ascii="Bookman Old Style" w:hAnsi="Bookman Old Style"/>
          <w:b/>
          <w:sz w:val="24"/>
          <w:szCs w:val="24"/>
        </w:rPr>
        <w:tab/>
      </w:r>
      <w:r w:rsidRPr="00DF0A89">
        <w:rPr>
          <w:rFonts w:ascii="Bookman Old Style" w:hAnsi="Bookman Old Style"/>
          <w:b/>
          <w:sz w:val="24"/>
          <w:szCs w:val="24"/>
        </w:rPr>
        <w:t>2012/HPC/0268</w:t>
      </w:r>
    </w:p>
    <w:p w:rsidR="00476473" w:rsidRPr="00DF0A89" w:rsidRDefault="00476473" w:rsidP="00E8034B">
      <w:pPr>
        <w:spacing w:line="360" w:lineRule="auto"/>
        <w:jc w:val="both"/>
        <w:rPr>
          <w:rFonts w:ascii="Bookman Old Style" w:hAnsi="Bookman Old Style"/>
          <w:b/>
          <w:sz w:val="24"/>
          <w:szCs w:val="24"/>
        </w:rPr>
      </w:pPr>
      <w:r w:rsidRPr="00DF0A89">
        <w:rPr>
          <w:rFonts w:ascii="Bookman Old Style" w:hAnsi="Bookman Old Style"/>
          <w:b/>
          <w:sz w:val="24"/>
          <w:szCs w:val="24"/>
        </w:rPr>
        <w:t>AT THE COMMERCIAL REGISTRY</w:t>
      </w:r>
    </w:p>
    <w:p w:rsidR="00476473" w:rsidRPr="00DF0A89" w:rsidRDefault="00476473" w:rsidP="00E8034B">
      <w:pPr>
        <w:spacing w:line="360" w:lineRule="auto"/>
        <w:jc w:val="both"/>
        <w:rPr>
          <w:rFonts w:ascii="Bookman Old Style" w:hAnsi="Bookman Old Style"/>
          <w:b/>
          <w:sz w:val="24"/>
          <w:szCs w:val="24"/>
        </w:rPr>
      </w:pPr>
      <w:r w:rsidRPr="00DF0A89">
        <w:rPr>
          <w:rFonts w:ascii="Bookman Old Style" w:hAnsi="Bookman Old Style"/>
          <w:b/>
          <w:sz w:val="24"/>
          <w:szCs w:val="24"/>
        </w:rPr>
        <w:t>HOLDEN AT LUSAKA</w:t>
      </w:r>
    </w:p>
    <w:p w:rsidR="00476473" w:rsidRPr="00DF0A89" w:rsidRDefault="000C486E" w:rsidP="00E8034B">
      <w:pPr>
        <w:spacing w:line="360" w:lineRule="auto"/>
        <w:jc w:val="both"/>
        <w:rPr>
          <w:rFonts w:ascii="Bookman Old Style" w:hAnsi="Bookman Old Style"/>
          <w:b/>
          <w:sz w:val="24"/>
          <w:szCs w:val="24"/>
        </w:rPr>
      </w:pPr>
      <w:r>
        <w:rPr>
          <w:rFonts w:ascii="Bookman Old Style" w:hAnsi="Bookman Old Style"/>
          <w:b/>
          <w:sz w:val="24"/>
          <w:szCs w:val="24"/>
        </w:rPr>
        <w:t>BETWEEN:</w:t>
      </w:r>
    </w:p>
    <w:p w:rsidR="004621B0" w:rsidRDefault="00476473" w:rsidP="004621B0">
      <w:pPr>
        <w:spacing w:after="0" w:line="360" w:lineRule="auto"/>
        <w:ind w:firstLine="720"/>
        <w:jc w:val="both"/>
        <w:rPr>
          <w:rFonts w:ascii="Bookman Old Style" w:hAnsi="Bookman Old Style"/>
          <w:b/>
          <w:sz w:val="24"/>
          <w:szCs w:val="24"/>
        </w:rPr>
      </w:pPr>
      <w:r w:rsidRPr="00DF0A89">
        <w:rPr>
          <w:rFonts w:ascii="Bookman Old Style" w:hAnsi="Bookman Old Style"/>
          <w:b/>
          <w:sz w:val="24"/>
          <w:szCs w:val="24"/>
        </w:rPr>
        <w:t xml:space="preserve">INTERMARKET BANKING CORPORATION </w:t>
      </w:r>
      <w:r w:rsidR="00900E71">
        <w:rPr>
          <w:rFonts w:ascii="Bookman Old Style" w:hAnsi="Bookman Old Style"/>
          <w:b/>
          <w:sz w:val="24"/>
          <w:szCs w:val="24"/>
        </w:rPr>
        <w:tab/>
      </w:r>
      <w:r w:rsidR="00900E71">
        <w:rPr>
          <w:rFonts w:ascii="Bookman Old Style" w:hAnsi="Bookman Old Style"/>
          <w:b/>
          <w:sz w:val="24"/>
          <w:szCs w:val="24"/>
        </w:rPr>
        <w:tab/>
        <w:t>APPLICANT</w:t>
      </w:r>
    </w:p>
    <w:p w:rsidR="00476473" w:rsidRPr="00DF0A89" w:rsidRDefault="004621B0" w:rsidP="004621B0">
      <w:pPr>
        <w:spacing w:line="360" w:lineRule="auto"/>
        <w:ind w:firstLine="720"/>
        <w:jc w:val="both"/>
        <w:rPr>
          <w:rFonts w:ascii="Bookman Old Style" w:hAnsi="Bookman Old Style"/>
          <w:b/>
          <w:sz w:val="24"/>
          <w:szCs w:val="24"/>
        </w:rPr>
      </w:pPr>
      <w:r>
        <w:rPr>
          <w:rFonts w:ascii="Bookman Old Style" w:hAnsi="Bookman Old Style"/>
          <w:b/>
          <w:sz w:val="24"/>
          <w:szCs w:val="24"/>
        </w:rPr>
        <w:t>ZAMBIA LIMITED</w:t>
      </w:r>
      <w:r>
        <w:rPr>
          <w:rFonts w:ascii="Bookman Old Style" w:hAnsi="Bookman Old Style"/>
          <w:b/>
          <w:sz w:val="24"/>
          <w:szCs w:val="24"/>
        </w:rPr>
        <w:tab/>
      </w:r>
      <w:r>
        <w:rPr>
          <w:rFonts w:ascii="Bookman Old Style" w:hAnsi="Bookman Old Style"/>
          <w:b/>
          <w:sz w:val="24"/>
          <w:szCs w:val="24"/>
        </w:rPr>
        <w:tab/>
      </w:r>
    </w:p>
    <w:p w:rsidR="00476473" w:rsidRPr="00DF0A89" w:rsidRDefault="00476473" w:rsidP="004621B0">
      <w:pPr>
        <w:spacing w:line="360" w:lineRule="auto"/>
        <w:ind w:firstLine="720"/>
        <w:jc w:val="both"/>
        <w:rPr>
          <w:rFonts w:ascii="Bookman Old Style" w:hAnsi="Bookman Old Style"/>
          <w:b/>
          <w:sz w:val="24"/>
          <w:szCs w:val="24"/>
        </w:rPr>
      </w:pPr>
      <w:r w:rsidRPr="00DF0A89">
        <w:rPr>
          <w:rFonts w:ascii="Bookman Old Style" w:hAnsi="Bookman Old Style"/>
          <w:b/>
          <w:sz w:val="24"/>
          <w:szCs w:val="24"/>
        </w:rPr>
        <w:t>AND</w:t>
      </w:r>
    </w:p>
    <w:p w:rsidR="00476473" w:rsidRPr="00DF0A89" w:rsidRDefault="004621B0" w:rsidP="004621B0">
      <w:pPr>
        <w:spacing w:line="360" w:lineRule="auto"/>
        <w:ind w:firstLine="720"/>
        <w:jc w:val="both"/>
        <w:rPr>
          <w:rFonts w:ascii="Bookman Old Style" w:hAnsi="Bookman Old Style"/>
          <w:b/>
          <w:sz w:val="24"/>
          <w:szCs w:val="24"/>
        </w:rPr>
      </w:pPr>
      <w:r>
        <w:rPr>
          <w:rFonts w:ascii="Bookman Old Style" w:hAnsi="Bookman Old Style"/>
          <w:b/>
          <w:sz w:val="24"/>
          <w:szCs w:val="24"/>
        </w:rPr>
        <w:t>NONDE MUNKANTA</w:t>
      </w:r>
      <w:r>
        <w:rPr>
          <w:rFonts w:ascii="Bookman Old Style" w:hAnsi="Bookman Old Style"/>
          <w:b/>
          <w:sz w:val="24"/>
          <w:szCs w:val="24"/>
        </w:rPr>
        <w:tab/>
      </w:r>
      <w:r w:rsidR="008455E7">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900E71">
        <w:rPr>
          <w:rFonts w:ascii="Bookman Old Style" w:hAnsi="Bookman Old Style"/>
          <w:b/>
          <w:sz w:val="24"/>
          <w:szCs w:val="24"/>
        </w:rPr>
        <w:t>RESPONDENT</w:t>
      </w:r>
    </w:p>
    <w:p w:rsidR="00476473" w:rsidRPr="00DF0A89" w:rsidRDefault="00476473" w:rsidP="00E8034B">
      <w:pPr>
        <w:spacing w:line="360" w:lineRule="auto"/>
        <w:jc w:val="both"/>
        <w:rPr>
          <w:rFonts w:ascii="Bookman Old Style" w:hAnsi="Bookman Old Style"/>
          <w:b/>
          <w:sz w:val="24"/>
          <w:szCs w:val="24"/>
        </w:rPr>
      </w:pPr>
      <w:r w:rsidRPr="00DF0A89">
        <w:rPr>
          <w:rFonts w:ascii="Bookman Old Style" w:hAnsi="Bookman Old Style"/>
          <w:b/>
          <w:sz w:val="24"/>
          <w:szCs w:val="24"/>
        </w:rPr>
        <w:t>BEFORE HON. JUSTICE NIGEL K.</w:t>
      </w:r>
      <w:r w:rsidR="00F85B82">
        <w:rPr>
          <w:rFonts w:ascii="Bookman Old Style" w:hAnsi="Bookman Old Style"/>
          <w:b/>
          <w:sz w:val="24"/>
          <w:szCs w:val="24"/>
        </w:rPr>
        <w:t xml:space="preserve"> MUTUNA IN CHAMBERS ON THE </w:t>
      </w:r>
      <w:r w:rsidR="00DC361A">
        <w:rPr>
          <w:rFonts w:ascii="Bookman Old Style" w:hAnsi="Bookman Old Style"/>
          <w:b/>
          <w:sz w:val="24"/>
          <w:szCs w:val="24"/>
        </w:rPr>
        <w:t>2</w:t>
      </w:r>
      <w:r w:rsidR="00DC6E1C">
        <w:rPr>
          <w:rFonts w:ascii="Bookman Old Style" w:hAnsi="Bookman Old Style"/>
          <w:b/>
          <w:sz w:val="24"/>
          <w:szCs w:val="24"/>
        </w:rPr>
        <w:t>8</w:t>
      </w:r>
      <w:r w:rsidR="00DC361A" w:rsidRPr="00F85B82">
        <w:rPr>
          <w:rFonts w:ascii="Bookman Old Style" w:hAnsi="Bookman Old Style"/>
          <w:b/>
          <w:sz w:val="24"/>
          <w:szCs w:val="24"/>
          <w:vertAlign w:val="superscript"/>
        </w:rPr>
        <w:t>TH</w:t>
      </w:r>
      <w:r w:rsidR="00DC361A">
        <w:rPr>
          <w:rFonts w:ascii="Bookman Old Style" w:hAnsi="Bookman Old Style"/>
          <w:b/>
          <w:sz w:val="24"/>
          <w:szCs w:val="24"/>
        </w:rPr>
        <w:t xml:space="preserve"> </w:t>
      </w:r>
      <w:r w:rsidR="00DC361A" w:rsidRPr="00DF0A89">
        <w:rPr>
          <w:rFonts w:ascii="Bookman Old Style" w:hAnsi="Bookman Old Style"/>
          <w:b/>
          <w:sz w:val="24"/>
          <w:szCs w:val="24"/>
        </w:rPr>
        <w:t>DAY</w:t>
      </w:r>
      <w:r w:rsidRPr="00DF0A89">
        <w:rPr>
          <w:rFonts w:ascii="Bookman Old Style" w:hAnsi="Bookman Old Style"/>
          <w:b/>
          <w:sz w:val="24"/>
          <w:szCs w:val="24"/>
        </w:rPr>
        <w:t xml:space="preserve"> OF NOVEMBER, 2012</w:t>
      </w:r>
    </w:p>
    <w:p w:rsidR="00476473" w:rsidRPr="00DF0A89" w:rsidRDefault="00476473" w:rsidP="00E8034B">
      <w:pPr>
        <w:spacing w:line="360" w:lineRule="auto"/>
        <w:jc w:val="both"/>
        <w:rPr>
          <w:rFonts w:ascii="Bookman Old Style" w:hAnsi="Bookman Old Style"/>
          <w:b/>
          <w:sz w:val="24"/>
          <w:szCs w:val="24"/>
        </w:rPr>
      </w:pPr>
      <w:r w:rsidRPr="00DF0A89">
        <w:rPr>
          <w:rFonts w:ascii="Bookman Old Style" w:hAnsi="Bookman Old Style"/>
          <w:b/>
          <w:sz w:val="24"/>
          <w:szCs w:val="24"/>
        </w:rPr>
        <w:t>FOR THE PLAINTIFF:</w:t>
      </w:r>
      <w:r w:rsidRPr="00DF0A89">
        <w:rPr>
          <w:rFonts w:ascii="Bookman Old Style" w:hAnsi="Bookman Old Style"/>
          <w:b/>
          <w:sz w:val="24"/>
          <w:szCs w:val="24"/>
        </w:rPr>
        <w:tab/>
      </w:r>
      <w:r w:rsidR="00DF0A89">
        <w:rPr>
          <w:rFonts w:ascii="Bookman Old Style" w:hAnsi="Bookman Old Style"/>
          <w:b/>
          <w:sz w:val="24"/>
          <w:szCs w:val="24"/>
        </w:rPr>
        <w:tab/>
      </w:r>
      <w:r w:rsidRPr="00DF0A89">
        <w:rPr>
          <w:rFonts w:ascii="Bookman Old Style" w:hAnsi="Bookman Old Style"/>
          <w:b/>
          <w:sz w:val="24"/>
          <w:szCs w:val="24"/>
        </w:rPr>
        <w:t>Mr. L. Zulu of Tembo Ngulube and Associates</w:t>
      </w:r>
    </w:p>
    <w:p w:rsidR="00476473" w:rsidRPr="00DF0A89" w:rsidRDefault="00476473" w:rsidP="00E8034B">
      <w:pPr>
        <w:spacing w:line="360" w:lineRule="auto"/>
        <w:ind w:left="3600" w:hanging="3600"/>
        <w:jc w:val="both"/>
        <w:rPr>
          <w:rFonts w:ascii="Bookman Old Style" w:hAnsi="Bookman Old Style"/>
          <w:b/>
          <w:sz w:val="24"/>
          <w:szCs w:val="24"/>
        </w:rPr>
      </w:pPr>
      <w:r w:rsidRPr="00DF0A89">
        <w:rPr>
          <w:rFonts w:ascii="Bookman Old Style" w:hAnsi="Bookman Old Style"/>
          <w:b/>
          <w:sz w:val="24"/>
          <w:szCs w:val="24"/>
        </w:rPr>
        <w:t>FOR THE DEFENDANT:</w:t>
      </w:r>
      <w:r w:rsidRPr="00DF0A89">
        <w:rPr>
          <w:rFonts w:ascii="Bookman Old Style" w:hAnsi="Bookman Old Style"/>
          <w:b/>
          <w:sz w:val="24"/>
          <w:szCs w:val="24"/>
        </w:rPr>
        <w:tab/>
        <w:t>Mr. W. Mubanga and Ms. M. Kamwenga of Messrs Chilupe and Permanent Chambers</w:t>
      </w:r>
    </w:p>
    <w:p w:rsidR="004621B0" w:rsidRDefault="004621B0" w:rsidP="004621B0">
      <w:pPr>
        <w:pBdr>
          <w:top w:val="single" w:sz="12" w:space="1" w:color="auto"/>
          <w:bottom w:val="single" w:sz="12" w:space="1" w:color="auto"/>
        </w:pBdr>
        <w:spacing w:line="360" w:lineRule="auto"/>
        <w:jc w:val="center"/>
        <w:rPr>
          <w:rFonts w:ascii="Bookman Old Style" w:hAnsi="Bookman Old Style"/>
          <w:b/>
          <w:sz w:val="28"/>
          <w:szCs w:val="28"/>
        </w:rPr>
      </w:pPr>
    </w:p>
    <w:p w:rsidR="00476473" w:rsidRPr="00DF0A89" w:rsidRDefault="00476473" w:rsidP="004621B0">
      <w:pPr>
        <w:pBdr>
          <w:top w:val="single" w:sz="12" w:space="1" w:color="auto"/>
          <w:bottom w:val="single" w:sz="12" w:space="1" w:color="auto"/>
        </w:pBdr>
        <w:spacing w:line="360" w:lineRule="auto"/>
        <w:jc w:val="center"/>
        <w:rPr>
          <w:rFonts w:ascii="Bookman Old Style" w:hAnsi="Bookman Old Style"/>
          <w:b/>
          <w:sz w:val="28"/>
          <w:szCs w:val="28"/>
        </w:rPr>
      </w:pPr>
      <w:r w:rsidRPr="00DF0A89">
        <w:rPr>
          <w:rFonts w:ascii="Bookman Old Style" w:hAnsi="Bookman Old Style"/>
          <w:b/>
          <w:sz w:val="28"/>
          <w:szCs w:val="28"/>
        </w:rPr>
        <w:t>R</w:t>
      </w:r>
      <w:r w:rsidR="00DF0A89">
        <w:rPr>
          <w:rFonts w:ascii="Bookman Old Style" w:hAnsi="Bookman Old Style"/>
          <w:b/>
          <w:sz w:val="28"/>
          <w:szCs w:val="28"/>
        </w:rPr>
        <w:t xml:space="preserve"> </w:t>
      </w:r>
      <w:r w:rsidRPr="00DF0A89">
        <w:rPr>
          <w:rFonts w:ascii="Bookman Old Style" w:hAnsi="Bookman Old Style"/>
          <w:b/>
          <w:sz w:val="28"/>
          <w:szCs w:val="28"/>
        </w:rPr>
        <w:t>U</w:t>
      </w:r>
      <w:r w:rsidR="00DF0A89">
        <w:rPr>
          <w:rFonts w:ascii="Bookman Old Style" w:hAnsi="Bookman Old Style"/>
          <w:b/>
          <w:sz w:val="28"/>
          <w:szCs w:val="28"/>
        </w:rPr>
        <w:t xml:space="preserve"> </w:t>
      </w:r>
      <w:r w:rsidRPr="00DF0A89">
        <w:rPr>
          <w:rFonts w:ascii="Bookman Old Style" w:hAnsi="Bookman Old Style"/>
          <w:b/>
          <w:sz w:val="28"/>
          <w:szCs w:val="28"/>
        </w:rPr>
        <w:t>L</w:t>
      </w:r>
      <w:r w:rsidR="00DF0A89">
        <w:rPr>
          <w:rFonts w:ascii="Bookman Old Style" w:hAnsi="Bookman Old Style"/>
          <w:b/>
          <w:sz w:val="28"/>
          <w:szCs w:val="28"/>
        </w:rPr>
        <w:t xml:space="preserve"> </w:t>
      </w:r>
      <w:r w:rsidRPr="00DF0A89">
        <w:rPr>
          <w:rFonts w:ascii="Bookman Old Style" w:hAnsi="Bookman Old Style"/>
          <w:b/>
          <w:sz w:val="28"/>
          <w:szCs w:val="28"/>
        </w:rPr>
        <w:t>I</w:t>
      </w:r>
      <w:r w:rsidR="00DF0A89">
        <w:rPr>
          <w:rFonts w:ascii="Bookman Old Style" w:hAnsi="Bookman Old Style"/>
          <w:b/>
          <w:sz w:val="28"/>
          <w:szCs w:val="28"/>
        </w:rPr>
        <w:t xml:space="preserve"> </w:t>
      </w:r>
      <w:r w:rsidRPr="00DF0A89">
        <w:rPr>
          <w:rFonts w:ascii="Bookman Old Style" w:hAnsi="Bookman Old Style"/>
          <w:b/>
          <w:sz w:val="28"/>
          <w:szCs w:val="28"/>
        </w:rPr>
        <w:t>N</w:t>
      </w:r>
      <w:r w:rsidR="00DF0A89">
        <w:rPr>
          <w:rFonts w:ascii="Bookman Old Style" w:hAnsi="Bookman Old Style"/>
          <w:b/>
          <w:sz w:val="28"/>
          <w:szCs w:val="28"/>
        </w:rPr>
        <w:t xml:space="preserve"> </w:t>
      </w:r>
      <w:r w:rsidRPr="00DF0A89">
        <w:rPr>
          <w:rFonts w:ascii="Bookman Old Style" w:hAnsi="Bookman Old Style"/>
          <w:b/>
          <w:sz w:val="28"/>
          <w:szCs w:val="28"/>
        </w:rPr>
        <w:t>G</w:t>
      </w:r>
    </w:p>
    <w:p w:rsidR="00DC361A" w:rsidRDefault="00DC361A" w:rsidP="00E8034B">
      <w:pPr>
        <w:spacing w:line="360" w:lineRule="auto"/>
        <w:jc w:val="both"/>
        <w:rPr>
          <w:rFonts w:ascii="Bookman Old Style" w:hAnsi="Bookman Old Style"/>
          <w:sz w:val="24"/>
          <w:szCs w:val="24"/>
        </w:rPr>
      </w:pPr>
    </w:p>
    <w:p w:rsidR="00F85B82" w:rsidRDefault="00F85B82" w:rsidP="00E8034B">
      <w:pPr>
        <w:spacing w:line="360" w:lineRule="auto"/>
        <w:jc w:val="both"/>
        <w:rPr>
          <w:rFonts w:ascii="Bookman Old Style" w:hAnsi="Bookman Old Style"/>
          <w:sz w:val="24"/>
          <w:szCs w:val="24"/>
        </w:rPr>
      </w:pPr>
      <w:r>
        <w:rPr>
          <w:rFonts w:ascii="Bookman Old Style" w:hAnsi="Bookman Old Style"/>
          <w:sz w:val="24"/>
          <w:szCs w:val="24"/>
        </w:rPr>
        <w:t>Cases referred to:</w:t>
      </w:r>
    </w:p>
    <w:p w:rsidR="00F85B82" w:rsidRPr="00F85B82" w:rsidRDefault="00F85B82" w:rsidP="00F85B82">
      <w:pPr>
        <w:pStyle w:val="ListParagraph"/>
        <w:numPr>
          <w:ilvl w:val="0"/>
          <w:numId w:val="3"/>
        </w:numPr>
        <w:spacing w:line="360" w:lineRule="auto"/>
        <w:jc w:val="both"/>
        <w:rPr>
          <w:rFonts w:ascii="Bookman Old Style" w:hAnsi="Bookman Old Style"/>
          <w:b/>
          <w:i/>
          <w:sz w:val="24"/>
          <w:szCs w:val="24"/>
        </w:rPr>
      </w:pPr>
      <w:r>
        <w:rPr>
          <w:rFonts w:ascii="Bookman Old Style" w:hAnsi="Bookman Old Style"/>
          <w:b/>
          <w:i/>
          <w:sz w:val="24"/>
          <w:szCs w:val="24"/>
        </w:rPr>
        <w:t xml:space="preserve">Printing and Numerical </w:t>
      </w:r>
      <w:r w:rsidR="00DC361A">
        <w:rPr>
          <w:rFonts w:ascii="Bookman Old Style" w:hAnsi="Bookman Old Style"/>
          <w:b/>
          <w:i/>
          <w:sz w:val="24"/>
          <w:szCs w:val="24"/>
        </w:rPr>
        <w:t>Registering</w:t>
      </w:r>
      <w:r>
        <w:rPr>
          <w:rFonts w:ascii="Bookman Old Style" w:hAnsi="Bookman Old Style"/>
          <w:b/>
          <w:i/>
          <w:sz w:val="24"/>
          <w:szCs w:val="24"/>
        </w:rPr>
        <w:t xml:space="preserve"> Co.-Vs-Simpson (1875) LRR 19 EQ 462</w:t>
      </w:r>
    </w:p>
    <w:p w:rsidR="00476473" w:rsidRPr="00DF0A89" w:rsidRDefault="00F85B82" w:rsidP="00E8034B">
      <w:pPr>
        <w:spacing w:line="360" w:lineRule="auto"/>
        <w:jc w:val="both"/>
        <w:rPr>
          <w:rFonts w:ascii="Bookman Old Style" w:hAnsi="Bookman Old Style"/>
          <w:sz w:val="24"/>
          <w:szCs w:val="24"/>
        </w:rPr>
      </w:pPr>
      <w:r>
        <w:rPr>
          <w:rFonts w:ascii="Bookman Old Style" w:hAnsi="Bookman Old Style"/>
          <w:sz w:val="24"/>
          <w:szCs w:val="24"/>
        </w:rPr>
        <w:t>Other a</w:t>
      </w:r>
      <w:r w:rsidR="00476473" w:rsidRPr="00DF0A89">
        <w:rPr>
          <w:rFonts w:ascii="Bookman Old Style" w:hAnsi="Bookman Old Style"/>
          <w:sz w:val="24"/>
          <w:szCs w:val="24"/>
        </w:rPr>
        <w:t>uthorities referred to:</w:t>
      </w:r>
    </w:p>
    <w:p w:rsidR="00476473" w:rsidRPr="00DF0A89" w:rsidRDefault="00476473" w:rsidP="00E8034B">
      <w:pPr>
        <w:pStyle w:val="ListParagraph"/>
        <w:numPr>
          <w:ilvl w:val="0"/>
          <w:numId w:val="1"/>
        </w:numPr>
        <w:spacing w:line="360" w:lineRule="auto"/>
        <w:jc w:val="both"/>
        <w:rPr>
          <w:rFonts w:ascii="Bookman Old Style" w:hAnsi="Bookman Old Style"/>
          <w:b/>
          <w:i/>
          <w:sz w:val="24"/>
          <w:szCs w:val="24"/>
        </w:rPr>
      </w:pPr>
      <w:r w:rsidRPr="00DF0A89">
        <w:rPr>
          <w:rFonts w:ascii="Bookman Old Style" w:hAnsi="Bookman Old Style"/>
          <w:b/>
          <w:i/>
          <w:sz w:val="24"/>
          <w:szCs w:val="24"/>
        </w:rPr>
        <w:t>Arbitration Act No.19 of 2000</w:t>
      </w:r>
    </w:p>
    <w:p w:rsidR="00476473" w:rsidRDefault="00476473" w:rsidP="00E8034B">
      <w:pPr>
        <w:pStyle w:val="ListParagraph"/>
        <w:numPr>
          <w:ilvl w:val="0"/>
          <w:numId w:val="1"/>
        </w:numPr>
        <w:spacing w:line="360" w:lineRule="auto"/>
        <w:jc w:val="both"/>
        <w:rPr>
          <w:rFonts w:ascii="Bookman Old Style" w:hAnsi="Bookman Old Style"/>
          <w:b/>
          <w:i/>
          <w:sz w:val="24"/>
          <w:szCs w:val="24"/>
        </w:rPr>
      </w:pPr>
      <w:r w:rsidRPr="00DF0A89">
        <w:rPr>
          <w:rFonts w:ascii="Bookman Old Style" w:hAnsi="Bookman Old Style"/>
          <w:b/>
          <w:i/>
          <w:sz w:val="24"/>
          <w:szCs w:val="24"/>
        </w:rPr>
        <w:t>Supreme</w:t>
      </w:r>
      <w:r w:rsidR="00DF0A89" w:rsidRPr="00DF0A89">
        <w:rPr>
          <w:rFonts w:ascii="Bookman Old Style" w:hAnsi="Bookman Old Style"/>
          <w:b/>
          <w:i/>
          <w:sz w:val="24"/>
          <w:szCs w:val="24"/>
        </w:rPr>
        <w:t xml:space="preserve"> Court Practice, 1999, Volume 1</w:t>
      </w:r>
    </w:p>
    <w:p w:rsidR="00F85B82" w:rsidRDefault="00F85B82" w:rsidP="00E8034B">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lastRenderedPageBreak/>
        <w:t>Atkins Court Forms (1978)</w:t>
      </w:r>
      <w:r w:rsidR="00DC6E1C">
        <w:rPr>
          <w:rFonts w:ascii="Bookman Old Style" w:hAnsi="Bookman Old Style"/>
          <w:b/>
          <w:i/>
          <w:sz w:val="24"/>
          <w:szCs w:val="24"/>
        </w:rPr>
        <w:t>,</w:t>
      </w:r>
      <w:r>
        <w:rPr>
          <w:rFonts w:ascii="Bookman Old Style" w:hAnsi="Bookman Old Style"/>
          <w:b/>
          <w:i/>
          <w:sz w:val="24"/>
          <w:szCs w:val="24"/>
        </w:rPr>
        <w:t xml:space="preserve"> Volume 12</w:t>
      </w:r>
    </w:p>
    <w:p w:rsidR="00F85B82" w:rsidRPr="00DF0A89" w:rsidRDefault="00F85B82" w:rsidP="00E8034B">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Ewan McKendrick, Contract Law, Macmillan Press Limited, London 1997</w:t>
      </w:r>
    </w:p>
    <w:p w:rsidR="00DF0A89" w:rsidRPr="00DF0A89" w:rsidRDefault="00DF0A89" w:rsidP="00E8034B">
      <w:pPr>
        <w:pStyle w:val="ListParagraph"/>
        <w:numPr>
          <w:ilvl w:val="0"/>
          <w:numId w:val="1"/>
        </w:numPr>
        <w:spacing w:line="360" w:lineRule="auto"/>
        <w:jc w:val="both"/>
        <w:rPr>
          <w:rFonts w:ascii="Bookman Old Style" w:hAnsi="Bookman Old Style"/>
          <w:b/>
          <w:i/>
          <w:sz w:val="24"/>
          <w:szCs w:val="24"/>
        </w:rPr>
      </w:pPr>
      <w:r w:rsidRPr="00DF0A89">
        <w:rPr>
          <w:rFonts w:ascii="Bookman Old Style" w:hAnsi="Bookman Old Style"/>
          <w:b/>
          <w:i/>
          <w:sz w:val="24"/>
          <w:szCs w:val="24"/>
        </w:rPr>
        <w:t>High Court Act, Cap 27</w:t>
      </w:r>
    </w:p>
    <w:p w:rsidR="00DF0A89" w:rsidRPr="00DF0A89" w:rsidRDefault="00DF0A89" w:rsidP="00E8034B">
      <w:pPr>
        <w:spacing w:line="360" w:lineRule="auto"/>
        <w:jc w:val="both"/>
        <w:rPr>
          <w:rFonts w:ascii="Bookman Old Style" w:hAnsi="Bookman Old Style"/>
          <w:sz w:val="24"/>
          <w:szCs w:val="24"/>
        </w:rPr>
      </w:pPr>
      <w:r w:rsidRPr="00DF0A89">
        <w:rPr>
          <w:rFonts w:ascii="Bookman Old Style" w:hAnsi="Bookman Old Style"/>
          <w:sz w:val="24"/>
          <w:szCs w:val="24"/>
        </w:rPr>
        <w:t>This is the Respondent’s application to stay proceedings</w:t>
      </w:r>
      <w:r w:rsidR="00FC767E">
        <w:rPr>
          <w:rFonts w:ascii="Bookman Old Style" w:hAnsi="Bookman Old Style"/>
          <w:sz w:val="24"/>
          <w:szCs w:val="24"/>
        </w:rPr>
        <w:t xml:space="preserve"> pending </w:t>
      </w:r>
      <w:r w:rsidR="00C07D9A">
        <w:rPr>
          <w:rFonts w:ascii="Bookman Old Style" w:hAnsi="Bookman Old Style"/>
          <w:sz w:val="24"/>
          <w:szCs w:val="24"/>
        </w:rPr>
        <w:t>referral</w:t>
      </w:r>
      <w:r w:rsidRPr="00DF0A89">
        <w:rPr>
          <w:rFonts w:ascii="Bookman Old Style" w:hAnsi="Bookman Old Style"/>
          <w:sz w:val="24"/>
          <w:szCs w:val="24"/>
        </w:rPr>
        <w:t xml:space="preserve"> to arbitratio</w:t>
      </w:r>
      <w:r w:rsidR="00FC767E">
        <w:rPr>
          <w:rFonts w:ascii="Bookman Old Style" w:hAnsi="Bookman Old Style"/>
          <w:sz w:val="24"/>
          <w:szCs w:val="24"/>
        </w:rPr>
        <w:t>n.  It is made by way of summons,</w:t>
      </w:r>
      <w:r w:rsidRPr="00DF0A89">
        <w:rPr>
          <w:rFonts w:ascii="Bookman Old Style" w:hAnsi="Bookman Old Style"/>
          <w:sz w:val="24"/>
          <w:szCs w:val="24"/>
        </w:rPr>
        <w:t xml:space="preserve"> supporting affidavit and skeleton arguments filed on 27</w:t>
      </w:r>
      <w:r w:rsidRPr="00DF0A89">
        <w:rPr>
          <w:rFonts w:ascii="Bookman Old Style" w:hAnsi="Bookman Old Style"/>
          <w:sz w:val="24"/>
          <w:szCs w:val="24"/>
          <w:vertAlign w:val="superscript"/>
        </w:rPr>
        <w:t>th</w:t>
      </w:r>
      <w:r w:rsidRPr="00DF0A89">
        <w:rPr>
          <w:rFonts w:ascii="Bookman Old Style" w:hAnsi="Bookman Old Style"/>
          <w:sz w:val="24"/>
          <w:szCs w:val="24"/>
        </w:rPr>
        <w:t xml:space="preserve"> September, 2012.</w:t>
      </w:r>
    </w:p>
    <w:p w:rsidR="00DF0A89" w:rsidRPr="00DF0A89" w:rsidRDefault="00DF0A89" w:rsidP="00E8034B">
      <w:pPr>
        <w:spacing w:line="360" w:lineRule="auto"/>
        <w:jc w:val="both"/>
        <w:rPr>
          <w:rFonts w:ascii="Bookman Old Style" w:hAnsi="Bookman Old Style"/>
          <w:sz w:val="24"/>
          <w:szCs w:val="24"/>
        </w:rPr>
      </w:pPr>
      <w:r w:rsidRPr="00DF0A89">
        <w:rPr>
          <w:rFonts w:ascii="Bookman Old Style" w:hAnsi="Bookman Old Style"/>
          <w:sz w:val="24"/>
          <w:szCs w:val="24"/>
        </w:rPr>
        <w:t>The Applicant’s response is by</w:t>
      </w:r>
      <w:r w:rsidR="00FC767E">
        <w:rPr>
          <w:rFonts w:ascii="Bookman Old Style" w:hAnsi="Bookman Old Style"/>
          <w:sz w:val="24"/>
          <w:szCs w:val="24"/>
        </w:rPr>
        <w:t xml:space="preserve"> way of affidavit in opposition and skeleton arguments</w:t>
      </w:r>
      <w:r w:rsidRPr="00DF0A89">
        <w:rPr>
          <w:rFonts w:ascii="Bookman Old Style" w:hAnsi="Bookman Old Style"/>
          <w:sz w:val="24"/>
          <w:szCs w:val="24"/>
        </w:rPr>
        <w:t xml:space="preserve"> filed on 5</w:t>
      </w:r>
      <w:r w:rsidRPr="00DF0A89">
        <w:rPr>
          <w:rFonts w:ascii="Bookman Old Style" w:hAnsi="Bookman Old Style"/>
          <w:sz w:val="24"/>
          <w:szCs w:val="24"/>
          <w:vertAlign w:val="superscript"/>
        </w:rPr>
        <w:t>th</w:t>
      </w:r>
      <w:r w:rsidRPr="00DF0A89">
        <w:rPr>
          <w:rFonts w:ascii="Bookman Old Style" w:hAnsi="Bookman Old Style"/>
          <w:sz w:val="24"/>
          <w:szCs w:val="24"/>
        </w:rPr>
        <w:t xml:space="preserve"> November, 2012.</w:t>
      </w:r>
    </w:p>
    <w:p w:rsidR="00FC767E" w:rsidRDefault="00DF0A89" w:rsidP="00E8034B">
      <w:pPr>
        <w:spacing w:line="360" w:lineRule="auto"/>
        <w:jc w:val="both"/>
        <w:rPr>
          <w:rFonts w:ascii="Bookman Old Style" w:hAnsi="Bookman Old Style"/>
          <w:sz w:val="24"/>
          <w:szCs w:val="24"/>
        </w:rPr>
      </w:pPr>
      <w:r w:rsidRPr="00DF0A89">
        <w:rPr>
          <w:rFonts w:ascii="Bookman Old Style" w:hAnsi="Bookman Old Style"/>
          <w:sz w:val="24"/>
          <w:szCs w:val="24"/>
        </w:rPr>
        <w:t>The facts of the case as they relate to this application are that</w:t>
      </w:r>
      <w:r w:rsidR="00DC6E1C">
        <w:rPr>
          <w:rFonts w:ascii="Bookman Old Style" w:hAnsi="Bookman Old Style"/>
          <w:sz w:val="24"/>
          <w:szCs w:val="24"/>
        </w:rPr>
        <w:t>,</w:t>
      </w:r>
      <w:r w:rsidRPr="00DF0A89">
        <w:rPr>
          <w:rFonts w:ascii="Bookman Old Style" w:hAnsi="Bookman Old Style"/>
          <w:sz w:val="24"/>
          <w:szCs w:val="24"/>
        </w:rPr>
        <w:t xml:space="preserve"> </w:t>
      </w:r>
      <w:r w:rsidR="00DC6E1C">
        <w:rPr>
          <w:rFonts w:ascii="Bookman Old Style" w:hAnsi="Bookman Old Style"/>
          <w:sz w:val="24"/>
          <w:szCs w:val="24"/>
        </w:rPr>
        <w:t>sometime in February, 2011 the A</w:t>
      </w:r>
      <w:r w:rsidRPr="00DF0A89">
        <w:rPr>
          <w:rFonts w:ascii="Bookman Old Style" w:hAnsi="Bookman Old Style"/>
          <w:sz w:val="24"/>
          <w:szCs w:val="24"/>
        </w:rPr>
        <w:t>pplicant agreed</w:t>
      </w:r>
      <w:r>
        <w:rPr>
          <w:rFonts w:ascii="Bookman Old Style" w:hAnsi="Bookman Old Style"/>
          <w:sz w:val="24"/>
          <w:szCs w:val="24"/>
        </w:rPr>
        <w:t xml:space="preserve"> to extend a loan facility to the Respondent in the sum of USD 100,</w:t>
      </w:r>
      <w:r w:rsidR="00FC767E">
        <w:rPr>
          <w:rFonts w:ascii="Bookman Old Style" w:hAnsi="Bookman Old Style"/>
          <w:sz w:val="24"/>
          <w:szCs w:val="24"/>
        </w:rPr>
        <w:t>000</w:t>
      </w:r>
      <w:r>
        <w:rPr>
          <w:rFonts w:ascii="Bookman Old Style" w:hAnsi="Bookman Old Style"/>
          <w:sz w:val="24"/>
          <w:szCs w:val="24"/>
        </w:rPr>
        <w:t>.00. Pursuant to the said agreement, the Applicant wrote to the Respondent on 10</w:t>
      </w:r>
      <w:r w:rsidRPr="00DF0A89">
        <w:rPr>
          <w:rFonts w:ascii="Bookman Old Style" w:hAnsi="Bookman Old Style"/>
          <w:sz w:val="24"/>
          <w:szCs w:val="24"/>
          <w:vertAlign w:val="superscript"/>
        </w:rPr>
        <w:t>th</w:t>
      </w:r>
      <w:r>
        <w:rPr>
          <w:rFonts w:ascii="Bookman Old Style" w:hAnsi="Bookman Old Style"/>
          <w:sz w:val="24"/>
          <w:szCs w:val="24"/>
        </w:rPr>
        <w:t xml:space="preserve"> February, 2011, setting out the terms and conditions o</w:t>
      </w:r>
      <w:r w:rsidR="00DC6E1C">
        <w:rPr>
          <w:rFonts w:ascii="Bookman Old Style" w:hAnsi="Bookman Old Style"/>
          <w:sz w:val="24"/>
          <w:szCs w:val="24"/>
        </w:rPr>
        <w:t>f the loan. Upon the Respondent</w:t>
      </w:r>
      <w:r>
        <w:rPr>
          <w:rFonts w:ascii="Bookman Old Style" w:hAnsi="Bookman Old Style"/>
          <w:sz w:val="24"/>
          <w:szCs w:val="24"/>
        </w:rPr>
        <w:t xml:space="preserve"> confirming the terms and conditions, the parties executed a mortgage deed which was re</w:t>
      </w:r>
      <w:r w:rsidR="006B3D52">
        <w:rPr>
          <w:rFonts w:ascii="Bookman Old Style" w:hAnsi="Bookman Old Style"/>
          <w:sz w:val="24"/>
          <w:szCs w:val="24"/>
        </w:rPr>
        <w:t>gistered in the Lands and D</w:t>
      </w:r>
      <w:r>
        <w:rPr>
          <w:rFonts w:ascii="Bookman Old Style" w:hAnsi="Bookman Old Style"/>
          <w:sz w:val="24"/>
          <w:szCs w:val="24"/>
        </w:rPr>
        <w:t>eeds Registry and dated 24</w:t>
      </w:r>
      <w:r w:rsidRPr="00DF0A89">
        <w:rPr>
          <w:rFonts w:ascii="Bookman Old Style" w:hAnsi="Bookman Old Style"/>
          <w:sz w:val="24"/>
          <w:szCs w:val="24"/>
          <w:vertAlign w:val="superscript"/>
        </w:rPr>
        <w:t>th</w:t>
      </w:r>
      <w:r>
        <w:rPr>
          <w:rFonts w:ascii="Bookman Old Style" w:hAnsi="Bookman Old Style"/>
          <w:sz w:val="24"/>
          <w:szCs w:val="24"/>
        </w:rPr>
        <w:t xml:space="preserve"> February, 2011. By the said mortgage deed the Respondent</w:t>
      </w:r>
      <w:r w:rsidR="006B3D52">
        <w:rPr>
          <w:rFonts w:ascii="Bookman Old Style" w:hAnsi="Bookman Old Style"/>
          <w:sz w:val="24"/>
          <w:szCs w:val="24"/>
        </w:rPr>
        <w:t xml:space="preserve"> charged his property known as S</w:t>
      </w:r>
      <w:r w:rsidR="0098424E">
        <w:rPr>
          <w:rFonts w:ascii="Bookman Old Style" w:hAnsi="Bookman Old Style"/>
          <w:sz w:val="24"/>
          <w:szCs w:val="24"/>
        </w:rPr>
        <w:t>tand number 6486, Lusaka to the Applicant as security for the loan.</w:t>
      </w:r>
      <w:r w:rsidR="00FC767E">
        <w:rPr>
          <w:rFonts w:ascii="Bookman Old Style" w:hAnsi="Bookman Old Style"/>
          <w:sz w:val="24"/>
          <w:szCs w:val="24"/>
        </w:rPr>
        <w:t xml:space="preserve"> The Respondent also executed a</w:t>
      </w:r>
      <w:r w:rsidR="0098424E">
        <w:rPr>
          <w:rFonts w:ascii="Bookman Old Style" w:hAnsi="Bookman Old Style"/>
          <w:sz w:val="24"/>
          <w:szCs w:val="24"/>
        </w:rPr>
        <w:t xml:space="preserve"> deed of guarantee and indemnity on 17</w:t>
      </w:r>
      <w:r w:rsidR="0098424E" w:rsidRPr="0098424E">
        <w:rPr>
          <w:rFonts w:ascii="Bookman Old Style" w:hAnsi="Bookman Old Style"/>
          <w:sz w:val="24"/>
          <w:szCs w:val="24"/>
          <w:vertAlign w:val="superscript"/>
        </w:rPr>
        <w:t>th</w:t>
      </w:r>
      <w:r w:rsidR="0098424E">
        <w:rPr>
          <w:rFonts w:ascii="Bookman Old Style" w:hAnsi="Bookman Old Style"/>
          <w:sz w:val="24"/>
          <w:szCs w:val="24"/>
        </w:rPr>
        <w:t xml:space="preserve"> February, 2011 in favour of the Applicant. </w:t>
      </w:r>
    </w:p>
    <w:p w:rsidR="00FC767E" w:rsidRDefault="0098424E" w:rsidP="00E8034B">
      <w:pPr>
        <w:spacing w:line="360" w:lineRule="auto"/>
        <w:jc w:val="both"/>
        <w:rPr>
          <w:rFonts w:ascii="Bookman Old Style" w:hAnsi="Bookman Old Style"/>
          <w:sz w:val="24"/>
          <w:szCs w:val="24"/>
        </w:rPr>
      </w:pPr>
      <w:r>
        <w:rPr>
          <w:rFonts w:ascii="Bookman Old Style" w:hAnsi="Bookman Old Style"/>
          <w:sz w:val="24"/>
          <w:szCs w:val="24"/>
        </w:rPr>
        <w:t>It was a condition of the said deed of guarantee and indemnity that if a dispute arises as to the validity, interpretation</w:t>
      </w:r>
      <w:r w:rsidR="00FC767E">
        <w:rPr>
          <w:rFonts w:ascii="Bookman Old Style" w:hAnsi="Bookman Old Style"/>
          <w:sz w:val="24"/>
          <w:szCs w:val="24"/>
        </w:rPr>
        <w:t>,</w:t>
      </w:r>
      <w:r>
        <w:rPr>
          <w:rFonts w:ascii="Bookman Old Style" w:hAnsi="Bookman Old Style"/>
          <w:sz w:val="24"/>
          <w:szCs w:val="24"/>
        </w:rPr>
        <w:t xml:space="preserve"> effec</w:t>
      </w:r>
      <w:r w:rsidR="004851AA">
        <w:rPr>
          <w:rFonts w:ascii="Bookman Old Style" w:hAnsi="Bookman Old Style"/>
          <w:sz w:val="24"/>
          <w:szCs w:val="24"/>
        </w:rPr>
        <w:t>t or rights and obligations of e</w:t>
      </w:r>
      <w:r>
        <w:rPr>
          <w:rFonts w:ascii="Bookman Old Style" w:hAnsi="Bookman Old Style"/>
          <w:sz w:val="24"/>
          <w:szCs w:val="24"/>
        </w:rPr>
        <w:t>ither party under the deed</w:t>
      </w:r>
      <w:r w:rsidR="00DC6E1C">
        <w:rPr>
          <w:rFonts w:ascii="Bookman Old Style" w:hAnsi="Bookman Old Style"/>
          <w:sz w:val="24"/>
          <w:szCs w:val="24"/>
        </w:rPr>
        <w:t>,</w:t>
      </w:r>
      <w:r>
        <w:rPr>
          <w:rFonts w:ascii="Bookman Old Style" w:hAnsi="Bookman Old Style"/>
          <w:sz w:val="24"/>
          <w:szCs w:val="24"/>
        </w:rPr>
        <w:t xml:space="preserve"> which</w:t>
      </w:r>
      <w:r w:rsidR="00DC6E1C">
        <w:rPr>
          <w:rFonts w:ascii="Bookman Old Style" w:hAnsi="Bookman Old Style"/>
          <w:sz w:val="24"/>
          <w:szCs w:val="24"/>
        </w:rPr>
        <w:t xml:space="preserve"> dispute</w:t>
      </w:r>
      <w:r w:rsidR="00F263B7">
        <w:rPr>
          <w:rFonts w:ascii="Bookman Old Style" w:hAnsi="Bookman Old Style"/>
          <w:sz w:val="24"/>
          <w:szCs w:val="24"/>
        </w:rPr>
        <w:t xml:space="preserve"> can not be resolved amicably, e</w:t>
      </w:r>
      <w:r>
        <w:rPr>
          <w:rFonts w:ascii="Bookman Old Style" w:hAnsi="Bookman Old Style"/>
          <w:sz w:val="24"/>
          <w:szCs w:val="24"/>
        </w:rPr>
        <w:t xml:space="preserve">ither party may refer such dispute to arbitration.  </w:t>
      </w:r>
    </w:p>
    <w:p w:rsidR="00DF0A89" w:rsidRDefault="0098424E" w:rsidP="00E8034B">
      <w:pPr>
        <w:spacing w:line="360" w:lineRule="auto"/>
        <w:jc w:val="both"/>
        <w:rPr>
          <w:rFonts w:ascii="Bookman Old Style" w:hAnsi="Bookman Old Style"/>
          <w:sz w:val="24"/>
          <w:szCs w:val="24"/>
        </w:rPr>
      </w:pPr>
      <w:r>
        <w:rPr>
          <w:rFonts w:ascii="Bookman Old Style" w:hAnsi="Bookman Old Style"/>
          <w:sz w:val="24"/>
          <w:szCs w:val="24"/>
        </w:rPr>
        <w:t>A dispute arose c</w:t>
      </w:r>
      <w:r w:rsidR="006B3D52">
        <w:rPr>
          <w:rFonts w:ascii="Bookman Old Style" w:hAnsi="Bookman Old Style"/>
          <w:sz w:val="24"/>
          <w:szCs w:val="24"/>
        </w:rPr>
        <w:t>oncerning payment by the Respond</w:t>
      </w:r>
      <w:r>
        <w:rPr>
          <w:rFonts w:ascii="Bookman Old Style" w:hAnsi="Bookman Old Style"/>
          <w:sz w:val="24"/>
          <w:szCs w:val="24"/>
        </w:rPr>
        <w:t>ent of the moneys due under the mo</w:t>
      </w:r>
      <w:r w:rsidR="00DC6E1C">
        <w:rPr>
          <w:rFonts w:ascii="Bookman Old Style" w:hAnsi="Bookman Old Style"/>
          <w:sz w:val="24"/>
          <w:szCs w:val="24"/>
        </w:rPr>
        <w:t>rtgage deed which prompted the A</w:t>
      </w:r>
      <w:r>
        <w:rPr>
          <w:rFonts w:ascii="Bookman Old Style" w:hAnsi="Bookman Old Style"/>
          <w:sz w:val="24"/>
          <w:szCs w:val="24"/>
        </w:rPr>
        <w:t>pplicant to commence</w:t>
      </w:r>
      <w:r w:rsidR="00556992">
        <w:rPr>
          <w:rFonts w:ascii="Bookman Old Style" w:hAnsi="Bookman Old Style"/>
          <w:sz w:val="24"/>
          <w:szCs w:val="24"/>
        </w:rPr>
        <w:t xml:space="preserve"> these proceedings. It therefore filed originating summons and an affidavit in support, in response whereof the Respondent made this application. It is his contention </w:t>
      </w:r>
      <w:r w:rsidR="00556992">
        <w:rPr>
          <w:rFonts w:ascii="Bookman Old Style" w:hAnsi="Bookman Old Style"/>
          <w:sz w:val="24"/>
          <w:szCs w:val="24"/>
        </w:rPr>
        <w:lastRenderedPageBreak/>
        <w:t>that these proceedings are wrongfully before this Court because the parties agreed that</w:t>
      </w:r>
      <w:r w:rsidR="00FC767E">
        <w:rPr>
          <w:rFonts w:ascii="Bookman Old Style" w:hAnsi="Bookman Old Style"/>
          <w:sz w:val="24"/>
          <w:szCs w:val="24"/>
        </w:rPr>
        <w:t xml:space="preserve"> any dispute that</w:t>
      </w:r>
      <w:r w:rsidR="007D6B2F">
        <w:rPr>
          <w:rFonts w:ascii="Bookman Old Style" w:hAnsi="Bookman Old Style"/>
          <w:sz w:val="24"/>
          <w:szCs w:val="24"/>
        </w:rPr>
        <w:t xml:space="preserve"> ma</w:t>
      </w:r>
      <w:r w:rsidR="00FC767E">
        <w:rPr>
          <w:rFonts w:ascii="Bookman Old Style" w:hAnsi="Bookman Old Style"/>
          <w:sz w:val="24"/>
          <w:szCs w:val="24"/>
        </w:rPr>
        <w:t>y arise</w:t>
      </w:r>
      <w:r w:rsidR="007D6B2F">
        <w:rPr>
          <w:rFonts w:ascii="Bookman Old Style" w:hAnsi="Bookman Old Style"/>
          <w:sz w:val="24"/>
          <w:szCs w:val="24"/>
        </w:rPr>
        <w:t xml:space="preserve"> will be resolved through arbitration.</w:t>
      </w:r>
    </w:p>
    <w:p w:rsidR="007D6B2F" w:rsidRDefault="007D6B2F" w:rsidP="00E8034B">
      <w:pPr>
        <w:spacing w:line="360" w:lineRule="auto"/>
        <w:jc w:val="both"/>
        <w:rPr>
          <w:rFonts w:ascii="Bookman Old Style" w:hAnsi="Bookman Old Style"/>
          <w:sz w:val="24"/>
          <w:szCs w:val="24"/>
        </w:rPr>
      </w:pPr>
      <w:r>
        <w:rPr>
          <w:rFonts w:ascii="Bookman Old Style" w:hAnsi="Bookman Old Style"/>
          <w:sz w:val="24"/>
          <w:szCs w:val="24"/>
        </w:rPr>
        <w:t>In the affidavit in support, the deponent</w:t>
      </w:r>
      <w:r w:rsidR="00FC767E">
        <w:rPr>
          <w:rFonts w:ascii="Bookman Old Style" w:hAnsi="Bookman Old Style"/>
          <w:sz w:val="24"/>
          <w:szCs w:val="24"/>
        </w:rPr>
        <w:t>,</w:t>
      </w:r>
      <w:r>
        <w:rPr>
          <w:rFonts w:ascii="Bookman Old Style" w:hAnsi="Bookman Old Style"/>
          <w:sz w:val="24"/>
          <w:szCs w:val="24"/>
        </w:rPr>
        <w:t xml:space="preserve"> Nonde Munkanta, </w:t>
      </w:r>
      <w:r w:rsidR="00FC767E">
        <w:rPr>
          <w:rFonts w:ascii="Bookman Old Style" w:hAnsi="Bookman Old Style"/>
          <w:sz w:val="24"/>
          <w:szCs w:val="24"/>
        </w:rPr>
        <w:t>being the Respondent, contended that he has</w:t>
      </w:r>
      <w:r>
        <w:rPr>
          <w:rFonts w:ascii="Bookman Old Style" w:hAnsi="Bookman Old Style"/>
          <w:sz w:val="24"/>
          <w:szCs w:val="24"/>
        </w:rPr>
        <w:t xml:space="preserve"> been advised by his counsel and he verily believe</w:t>
      </w:r>
      <w:r w:rsidR="00FC767E">
        <w:rPr>
          <w:rFonts w:ascii="Bookman Old Style" w:hAnsi="Bookman Old Style"/>
          <w:sz w:val="24"/>
          <w:szCs w:val="24"/>
        </w:rPr>
        <w:t>s</w:t>
      </w:r>
      <w:r>
        <w:rPr>
          <w:rFonts w:ascii="Bookman Old Style" w:hAnsi="Bookman Old Style"/>
          <w:sz w:val="24"/>
          <w:szCs w:val="24"/>
        </w:rPr>
        <w:t xml:space="preserve"> that in accordance with the agreement entered into by the parties they are obliged to refer any dispute they may have to arbitration.  He contended further that a copy of the</w:t>
      </w:r>
      <w:r w:rsidR="003D3A21">
        <w:rPr>
          <w:rFonts w:ascii="Bookman Old Style" w:hAnsi="Bookman Old Style"/>
          <w:sz w:val="24"/>
          <w:szCs w:val="24"/>
        </w:rPr>
        <w:t xml:space="preserve"> said agreement appears as exhibit “BB1” to the Applicant’s affidavit filed on 4</w:t>
      </w:r>
      <w:r w:rsidR="003D3A21" w:rsidRPr="003D3A21">
        <w:rPr>
          <w:rFonts w:ascii="Bookman Old Style" w:hAnsi="Bookman Old Style"/>
          <w:sz w:val="24"/>
          <w:szCs w:val="24"/>
          <w:vertAlign w:val="superscript"/>
        </w:rPr>
        <w:t>th</w:t>
      </w:r>
      <w:r w:rsidR="003D3A21">
        <w:rPr>
          <w:rFonts w:ascii="Bookman Old Style" w:hAnsi="Bookman Old Style"/>
          <w:sz w:val="24"/>
          <w:szCs w:val="24"/>
        </w:rPr>
        <w:t xml:space="preserve"> June, 2012. </w:t>
      </w:r>
      <w:r w:rsidR="006B3D52">
        <w:rPr>
          <w:rFonts w:ascii="Bookman Old Style" w:hAnsi="Bookman Old Style"/>
          <w:sz w:val="24"/>
          <w:szCs w:val="24"/>
        </w:rPr>
        <w:t>The</w:t>
      </w:r>
      <w:r w:rsidR="003D3A21">
        <w:rPr>
          <w:rFonts w:ascii="Bookman Old Style" w:hAnsi="Bookman Old Style"/>
          <w:sz w:val="24"/>
          <w:szCs w:val="24"/>
        </w:rPr>
        <w:t xml:space="preserve"> said exhibit</w:t>
      </w:r>
      <w:r w:rsidR="00DC6E1C">
        <w:rPr>
          <w:rFonts w:ascii="Bookman Old Style" w:hAnsi="Bookman Old Style"/>
          <w:sz w:val="24"/>
          <w:szCs w:val="24"/>
        </w:rPr>
        <w:t>,</w:t>
      </w:r>
      <w:r w:rsidR="003D3A21">
        <w:rPr>
          <w:rFonts w:ascii="Bookman Old Style" w:hAnsi="Bookman Old Style"/>
          <w:sz w:val="24"/>
          <w:szCs w:val="24"/>
        </w:rPr>
        <w:t xml:space="preserve"> he stated is also described as the facility letter.</w:t>
      </w:r>
      <w:r w:rsidR="00DC6E1C">
        <w:rPr>
          <w:rFonts w:ascii="Bookman Old Style" w:hAnsi="Bookman Old Style"/>
          <w:sz w:val="24"/>
          <w:szCs w:val="24"/>
        </w:rPr>
        <w:t xml:space="preserve"> </w:t>
      </w:r>
      <w:r w:rsidR="003D3A21">
        <w:rPr>
          <w:rFonts w:ascii="Bookman Old Style" w:hAnsi="Bookman Old Style"/>
          <w:sz w:val="24"/>
          <w:szCs w:val="24"/>
        </w:rPr>
        <w:t>As a consequence of this he contended further, the Applicant is barred from institutin</w:t>
      </w:r>
      <w:r w:rsidR="00FC767E">
        <w:rPr>
          <w:rFonts w:ascii="Bookman Old Style" w:hAnsi="Bookman Old Style"/>
          <w:sz w:val="24"/>
          <w:szCs w:val="24"/>
        </w:rPr>
        <w:t>g proceedings before this Court and</w:t>
      </w:r>
      <w:r w:rsidR="00CE1DB4">
        <w:rPr>
          <w:rFonts w:ascii="Bookman Old Style" w:hAnsi="Bookman Old Style"/>
          <w:sz w:val="24"/>
          <w:szCs w:val="24"/>
        </w:rPr>
        <w:t xml:space="preserve"> c</w:t>
      </w:r>
      <w:r w:rsidR="003D3A21">
        <w:rPr>
          <w:rFonts w:ascii="Bookman Old Style" w:hAnsi="Bookman Old Style"/>
          <w:sz w:val="24"/>
          <w:szCs w:val="24"/>
        </w:rPr>
        <w:t xml:space="preserve">onsequently the Court has no jurisdiction to entertain the </w:t>
      </w:r>
      <w:r w:rsidR="00E92E2C">
        <w:rPr>
          <w:rFonts w:ascii="Bookman Old Style" w:hAnsi="Bookman Old Style"/>
          <w:sz w:val="24"/>
          <w:szCs w:val="24"/>
        </w:rPr>
        <w:t xml:space="preserve">matter. </w:t>
      </w:r>
    </w:p>
    <w:p w:rsidR="00DC6E1C" w:rsidRDefault="00DC6E1C" w:rsidP="00E8034B">
      <w:pPr>
        <w:spacing w:line="360" w:lineRule="auto"/>
        <w:jc w:val="both"/>
        <w:rPr>
          <w:rFonts w:ascii="Bookman Old Style" w:hAnsi="Bookman Old Style"/>
          <w:sz w:val="24"/>
          <w:szCs w:val="24"/>
        </w:rPr>
      </w:pPr>
      <w:r>
        <w:rPr>
          <w:rFonts w:ascii="Bookman Old Style" w:hAnsi="Bookman Old Style"/>
          <w:sz w:val="24"/>
          <w:szCs w:val="24"/>
        </w:rPr>
        <w:t>The affidavit in opposition was sworn by one Biggie Banda. It revealed that there is no arbitration clause in the mortgage deed pursuant to which this action is brought. Further that, this was the case with the facility letter as well, as such the Respondent</w:t>
      </w:r>
      <w:r w:rsidR="00900E71">
        <w:rPr>
          <w:rFonts w:ascii="Bookman Old Style" w:hAnsi="Bookman Old Style"/>
          <w:sz w:val="24"/>
          <w:szCs w:val="24"/>
        </w:rPr>
        <w:t>’</w:t>
      </w:r>
      <w:r>
        <w:rPr>
          <w:rFonts w:ascii="Bookman Old Style" w:hAnsi="Bookman Old Style"/>
          <w:sz w:val="24"/>
          <w:szCs w:val="24"/>
        </w:rPr>
        <w:t>s application is misconceived.</w:t>
      </w:r>
    </w:p>
    <w:p w:rsidR="00DC6E1C" w:rsidRDefault="00DC6E1C" w:rsidP="00E8034B">
      <w:pPr>
        <w:spacing w:line="360" w:lineRule="auto"/>
        <w:jc w:val="both"/>
        <w:rPr>
          <w:rFonts w:ascii="Bookman Old Style" w:hAnsi="Bookman Old Style"/>
          <w:sz w:val="24"/>
          <w:szCs w:val="24"/>
        </w:rPr>
      </w:pPr>
      <w:r>
        <w:rPr>
          <w:rFonts w:ascii="Bookman Old Style" w:hAnsi="Bookman Old Style"/>
          <w:sz w:val="24"/>
          <w:szCs w:val="24"/>
        </w:rPr>
        <w:t>The affidavit also revealed that the arbitration clause is contained in the deed of personal guarantee and indemnity</w:t>
      </w:r>
      <w:r w:rsidR="00900E71">
        <w:rPr>
          <w:rFonts w:ascii="Bookman Old Style" w:hAnsi="Bookman Old Style"/>
          <w:sz w:val="24"/>
          <w:szCs w:val="24"/>
        </w:rPr>
        <w:t>,</w:t>
      </w:r>
      <w:r>
        <w:rPr>
          <w:rFonts w:ascii="Bookman Old Style" w:hAnsi="Bookman Old Style"/>
          <w:sz w:val="24"/>
          <w:szCs w:val="24"/>
        </w:rPr>
        <w:t xml:space="preserve"> which document is not in dispute in these </w:t>
      </w:r>
      <w:r w:rsidR="0067519A">
        <w:rPr>
          <w:rFonts w:ascii="Bookman Old Style" w:hAnsi="Bookman Old Style"/>
          <w:sz w:val="24"/>
          <w:szCs w:val="24"/>
        </w:rPr>
        <w:t>proceedings.</w:t>
      </w:r>
    </w:p>
    <w:p w:rsidR="00EA5B18" w:rsidRDefault="00EA5B18" w:rsidP="00E8034B">
      <w:pPr>
        <w:spacing w:line="360" w:lineRule="auto"/>
        <w:jc w:val="both"/>
        <w:rPr>
          <w:rFonts w:ascii="Bookman Old Style" w:hAnsi="Bookman Old Style"/>
          <w:sz w:val="24"/>
          <w:szCs w:val="24"/>
        </w:rPr>
      </w:pPr>
      <w:r>
        <w:rPr>
          <w:rFonts w:ascii="Bookman Old Style" w:hAnsi="Bookman Old Style"/>
          <w:sz w:val="24"/>
          <w:szCs w:val="24"/>
        </w:rPr>
        <w:t>The matter came up for hearing on 20</w:t>
      </w:r>
      <w:r w:rsidRPr="00EA5B18">
        <w:rPr>
          <w:rFonts w:ascii="Bookman Old Style" w:hAnsi="Bookman Old Style"/>
          <w:sz w:val="24"/>
          <w:szCs w:val="24"/>
          <w:vertAlign w:val="superscript"/>
        </w:rPr>
        <w:t>th</w:t>
      </w:r>
      <w:r w:rsidR="00376514">
        <w:rPr>
          <w:rFonts w:ascii="Bookman Old Style" w:hAnsi="Bookman Old Style"/>
          <w:sz w:val="24"/>
          <w:szCs w:val="24"/>
        </w:rPr>
        <w:t xml:space="preserve"> November, 2012, and counsel for the two parties along with relying on the skeleton arguments made verbal submissions.</w:t>
      </w:r>
    </w:p>
    <w:p w:rsidR="00EA5B18" w:rsidRDefault="007C13D1" w:rsidP="00E8034B">
      <w:pPr>
        <w:spacing w:line="360" w:lineRule="auto"/>
        <w:jc w:val="both"/>
        <w:rPr>
          <w:rFonts w:ascii="Bookman Old Style" w:hAnsi="Bookman Old Style"/>
          <w:sz w:val="24"/>
          <w:szCs w:val="24"/>
        </w:rPr>
      </w:pPr>
      <w:r>
        <w:rPr>
          <w:rFonts w:ascii="Bookman Old Style" w:hAnsi="Bookman Old Style"/>
          <w:sz w:val="24"/>
          <w:szCs w:val="24"/>
        </w:rPr>
        <w:t>In the</w:t>
      </w:r>
      <w:r w:rsidR="00EA5B18">
        <w:rPr>
          <w:rFonts w:ascii="Bookman Old Style" w:hAnsi="Bookman Old Style"/>
          <w:sz w:val="24"/>
          <w:szCs w:val="24"/>
        </w:rPr>
        <w:t xml:space="preserve"> Respondent’s arguments, Mr. W. Mubanga argued that there is an arbitration clause in the agreement between the parties being the personal guarantee signed by the Respondent.  By the said agreement</w:t>
      </w:r>
      <w:r w:rsidR="00CE1DB4">
        <w:rPr>
          <w:rFonts w:ascii="Bookman Old Style" w:hAnsi="Bookman Old Style"/>
          <w:sz w:val="24"/>
          <w:szCs w:val="24"/>
        </w:rPr>
        <w:t xml:space="preserve"> under clause 7</w:t>
      </w:r>
      <w:r w:rsidR="00EA5B18">
        <w:rPr>
          <w:rFonts w:ascii="Bookman Old Style" w:hAnsi="Bookman Old Style"/>
          <w:sz w:val="24"/>
          <w:szCs w:val="24"/>
        </w:rPr>
        <w:t xml:space="preserve"> he argued further, the parties agreed that in the event of a dispute arising which can not be resolved amicably, then it would be referred to arbitration. </w:t>
      </w:r>
    </w:p>
    <w:p w:rsidR="00EA5B18" w:rsidRDefault="00EA5B18" w:rsidP="00E8034B">
      <w:pPr>
        <w:spacing w:line="360" w:lineRule="auto"/>
        <w:jc w:val="both"/>
        <w:rPr>
          <w:rFonts w:ascii="Bookman Old Style" w:hAnsi="Bookman Old Style"/>
          <w:sz w:val="24"/>
          <w:szCs w:val="24"/>
        </w:rPr>
      </w:pPr>
      <w:r>
        <w:rPr>
          <w:rFonts w:ascii="Bookman Old Style" w:hAnsi="Bookman Old Style"/>
          <w:sz w:val="24"/>
          <w:szCs w:val="24"/>
        </w:rPr>
        <w:t xml:space="preserve">Counsel went on to argue that </w:t>
      </w:r>
      <w:r w:rsidR="00376514">
        <w:rPr>
          <w:rFonts w:ascii="Bookman Old Style" w:hAnsi="Bookman Old Style"/>
          <w:sz w:val="24"/>
          <w:szCs w:val="24"/>
        </w:rPr>
        <w:t>t</w:t>
      </w:r>
      <w:r>
        <w:rPr>
          <w:rFonts w:ascii="Bookman Old Style" w:hAnsi="Bookman Old Style"/>
          <w:sz w:val="24"/>
          <w:szCs w:val="24"/>
        </w:rPr>
        <w:t>his action does not arise from the mortgage deed but rather the facility letter exhibited BB1 to the affidavit i</w:t>
      </w:r>
      <w:r w:rsidR="00CE1DB4">
        <w:rPr>
          <w:rFonts w:ascii="Bookman Old Style" w:hAnsi="Bookman Old Style"/>
          <w:sz w:val="24"/>
          <w:szCs w:val="24"/>
        </w:rPr>
        <w:t>n support</w:t>
      </w:r>
      <w:r>
        <w:rPr>
          <w:rFonts w:ascii="Bookman Old Style" w:hAnsi="Bookman Old Style"/>
          <w:sz w:val="24"/>
          <w:szCs w:val="24"/>
        </w:rPr>
        <w:t xml:space="preserve">, </w:t>
      </w:r>
      <w:r>
        <w:rPr>
          <w:rFonts w:ascii="Bookman Old Style" w:hAnsi="Bookman Old Style"/>
          <w:sz w:val="24"/>
          <w:szCs w:val="24"/>
        </w:rPr>
        <w:lastRenderedPageBreak/>
        <w:t xml:space="preserve">which letter refers to both the mortgage deed and the guarantee. It was argued that in the absence of a clause in </w:t>
      </w:r>
      <w:r w:rsidR="00E92E2C">
        <w:rPr>
          <w:rFonts w:ascii="Bookman Old Style" w:hAnsi="Bookman Old Style"/>
          <w:sz w:val="24"/>
          <w:szCs w:val="24"/>
        </w:rPr>
        <w:t>the facility letter that one document does not override the other</w:t>
      </w:r>
      <w:r w:rsidR="00376514">
        <w:rPr>
          <w:rFonts w:ascii="Bookman Old Style" w:hAnsi="Bookman Old Style"/>
          <w:sz w:val="24"/>
          <w:szCs w:val="24"/>
        </w:rPr>
        <w:t>,</w:t>
      </w:r>
      <w:r w:rsidR="00E92E2C">
        <w:rPr>
          <w:rFonts w:ascii="Bookman Old Style" w:hAnsi="Bookman Old Style"/>
          <w:sz w:val="24"/>
          <w:szCs w:val="24"/>
        </w:rPr>
        <w:t xml:space="preserve"> all three documents should be read together.  Further </w:t>
      </w:r>
      <w:r w:rsidR="006B3D52">
        <w:rPr>
          <w:rFonts w:ascii="Bookman Old Style" w:hAnsi="Bookman Old Style"/>
          <w:sz w:val="24"/>
          <w:szCs w:val="24"/>
        </w:rPr>
        <w:t>that</w:t>
      </w:r>
      <w:r w:rsidR="00376514">
        <w:rPr>
          <w:rFonts w:ascii="Bookman Old Style" w:hAnsi="Bookman Old Style"/>
          <w:sz w:val="24"/>
          <w:szCs w:val="24"/>
        </w:rPr>
        <w:t>, a</w:t>
      </w:r>
      <w:r w:rsidR="006B3D52">
        <w:rPr>
          <w:rFonts w:ascii="Bookman Old Style" w:hAnsi="Bookman Old Style"/>
          <w:sz w:val="24"/>
          <w:szCs w:val="24"/>
        </w:rPr>
        <w:t xml:space="preserve"> personal guarantee</w:t>
      </w:r>
      <w:r w:rsidR="007C13D1">
        <w:rPr>
          <w:rFonts w:ascii="Bookman Old Style" w:hAnsi="Bookman Old Style"/>
          <w:sz w:val="24"/>
          <w:szCs w:val="24"/>
        </w:rPr>
        <w:t xml:space="preserve"> become</w:t>
      </w:r>
      <w:r w:rsidR="00376514">
        <w:rPr>
          <w:rFonts w:ascii="Bookman Old Style" w:hAnsi="Bookman Old Style"/>
          <w:sz w:val="24"/>
          <w:szCs w:val="24"/>
        </w:rPr>
        <w:t>s</w:t>
      </w:r>
      <w:r w:rsidR="007C13D1">
        <w:rPr>
          <w:rFonts w:ascii="Bookman Old Style" w:hAnsi="Bookman Old Style"/>
          <w:sz w:val="24"/>
          <w:szCs w:val="24"/>
        </w:rPr>
        <w:t xml:space="preserve"> effective when a debtor fails to meet his obligation. Which is the case in this matter because the Applicant alleges that the Respondent has failed to pay</w:t>
      </w:r>
      <w:r w:rsidR="00376514">
        <w:rPr>
          <w:rFonts w:ascii="Bookman Old Style" w:hAnsi="Bookman Old Style"/>
          <w:sz w:val="24"/>
          <w:szCs w:val="24"/>
        </w:rPr>
        <w:t>,</w:t>
      </w:r>
      <w:r w:rsidR="007C13D1">
        <w:rPr>
          <w:rFonts w:ascii="Bookman Old Style" w:hAnsi="Bookman Old Style"/>
          <w:sz w:val="24"/>
          <w:szCs w:val="24"/>
        </w:rPr>
        <w:t xml:space="preserve"> therefore</w:t>
      </w:r>
      <w:r w:rsidR="00376514">
        <w:rPr>
          <w:rFonts w:ascii="Bookman Old Style" w:hAnsi="Bookman Old Style"/>
          <w:sz w:val="24"/>
          <w:szCs w:val="24"/>
        </w:rPr>
        <w:t>,</w:t>
      </w:r>
      <w:r w:rsidR="007C13D1">
        <w:rPr>
          <w:rFonts w:ascii="Bookman Old Style" w:hAnsi="Bookman Old Style"/>
          <w:sz w:val="24"/>
          <w:szCs w:val="24"/>
        </w:rPr>
        <w:t xml:space="preserve"> the guarantee has become effective. The said personal guarantee having an arbitration clause enshrined in it, this Court is obliged by virtue of section 9(2) of the </w:t>
      </w:r>
      <w:r w:rsidR="007C13D1" w:rsidRPr="007C13D1">
        <w:rPr>
          <w:rFonts w:ascii="Bookman Old Style" w:hAnsi="Bookman Old Style"/>
          <w:b/>
          <w:i/>
          <w:sz w:val="24"/>
          <w:szCs w:val="24"/>
        </w:rPr>
        <w:t>Arbitration Act</w:t>
      </w:r>
      <w:r w:rsidR="00CE1DB4">
        <w:rPr>
          <w:rFonts w:ascii="Bookman Old Style" w:hAnsi="Bookman Old Style"/>
          <w:b/>
          <w:i/>
          <w:sz w:val="24"/>
          <w:szCs w:val="24"/>
        </w:rPr>
        <w:t xml:space="preserve"> </w:t>
      </w:r>
      <w:r w:rsidR="00CE1DB4" w:rsidRPr="00F77D18">
        <w:rPr>
          <w:rFonts w:ascii="Bookman Old Style" w:hAnsi="Bookman Old Style"/>
          <w:sz w:val="24"/>
          <w:szCs w:val="24"/>
        </w:rPr>
        <w:t>to refer the dispute to arbitration</w:t>
      </w:r>
      <w:r w:rsidR="007C13D1">
        <w:rPr>
          <w:rFonts w:ascii="Bookman Old Style" w:hAnsi="Bookman Old Style"/>
          <w:sz w:val="24"/>
          <w:szCs w:val="24"/>
        </w:rPr>
        <w:t>. The said</w:t>
      </w:r>
      <w:r>
        <w:rPr>
          <w:rFonts w:ascii="Bookman Old Style" w:hAnsi="Bookman Old Style"/>
          <w:sz w:val="24"/>
          <w:szCs w:val="24"/>
        </w:rPr>
        <w:t xml:space="preserve"> </w:t>
      </w:r>
      <w:r w:rsidR="007C13D1">
        <w:rPr>
          <w:rFonts w:ascii="Bookman Old Style" w:hAnsi="Bookman Old Style"/>
          <w:sz w:val="24"/>
          <w:szCs w:val="24"/>
        </w:rPr>
        <w:t>section, counsel argued stipulates that reference to an arbitration clause constitutes an arbitration agreement as long as the contract is in writing.</w:t>
      </w:r>
    </w:p>
    <w:p w:rsidR="003E6196" w:rsidRDefault="003E6196" w:rsidP="00E8034B">
      <w:pPr>
        <w:spacing w:line="360" w:lineRule="auto"/>
        <w:jc w:val="both"/>
        <w:rPr>
          <w:rFonts w:ascii="Bookman Old Style" w:hAnsi="Bookman Old Style"/>
          <w:b/>
          <w:i/>
          <w:sz w:val="24"/>
          <w:szCs w:val="24"/>
        </w:rPr>
      </w:pPr>
      <w:r>
        <w:rPr>
          <w:rFonts w:ascii="Bookman Old Style" w:hAnsi="Bookman Old Style"/>
          <w:sz w:val="24"/>
          <w:szCs w:val="24"/>
        </w:rPr>
        <w:t xml:space="preserve">Counsel proceeded to define the word dispute and likened an arbitration clause to a consent judgment pursuant to Order 42 rule 5A subrule 4 of the </w:t>
      </w:r>
      <w:r w:rsidRPr="00FE39D1">
        <w:rPr>
          <w:rFonts w:ascii="Bookman Old Style" w:hAnsi="Bookman Old Style"/>
          <w:b/>
          <w:i/>
          <w:sz w:val="24"/>
          <w:szCs w:val="24"/>
        </w:rPr>
        <w:t>Supreme Court Practice (white book)</w:t>
      </w:r>
      <w:r>
        <w:rPr>
          <w:rFonts w:ascii="Bookman Old Style" w:hAnsi="Bookman Old Style"/>
          <w:sz w:val="24"/>
          <w:szCs w:val="24"/>
        </w:rPr>
        <w:t>. He also argued that the effect of a c</w:t>
      </w:r>
      <w:r w:rsidR="00FE39D1">
        <w:rPr>
          <w:rFonts w:ascii="Bookman Old Style" w:hAnsi="Bookman Old Style"/>
          <w:sz w:val="24"/>
          <w:szCs w:val="24"/>
        </w:rPr>
        <w:t>onsent order is the same as the effect of</w:t>
      </w:r>
      <w:r>
        <w:rPr>
          <w:rFonts w:ascii="Bookman Old Style" w:hAnsi="Bookman Old Style"/>
          <w:sz w:val="24"/>
          <w:szCs w:val="24"/>
        </w:rPr>
        <w:t xml:space="preserve"> a contract. Reference was made in this respect to </w:t>
      </w:r>
      <w:r w:rsidRPr="00FE39D1">
        <w:rPr>
          <w:rFonts w:ascii="Bookman Old Style" w:hAnsi="Bookman Old Style"/>
          <w:b/>
          <w:i/>
          <w:sz w:val="24"/>
          <w:szCs w:val="24"/>
        </w:rPr>
        <w:t>Atkins Court Forms (1978) Volume 12</w:t>
      </w:r>
      <w:r>
        <w:rPr>
          <w:rFonts w:ascii="Bookman Old Style" w:hAnsi="Bookman Old Style"/>
          <w:sz w:val="24"/>
          <w:szCs w:val="24"/>
        </w:rPr>
        <w:t xml:space="preserve"> at pages 13 to 14, paragraph 9. It was also argued that the law of contract recognizes the parties’ freedom to enter into a contract and that once they enter into such a contract the Court is obliged to recognize it and enforce it. In</w:t>
      </w:r>
      <w:r w:rsidR="00B354D6">
        <w:rPr>
          <w:rFonts w:ascii="Bookman Old Style" w:hAnsi="Bookman Old Style"/>
          <w:sz w:val="24"/>
          <w:szCs w:val="24"/>
        </w:rPr>
        <w:t xml:space="preserve"> articulating</w:t>
      </w:r>
      <w:r>
        <w:rPr>
          <w:rFonts w:ascii="Bookman Old Style" w:hAnsi="Bookman Old Style"/>
          <w:sz w:val="24"/>
          <w:szCs w:val="24"/>
        </w:rPr>
        <w:t xml:space="preserve"> the said argument, counsel made reference to </w:t>
      </w:r>
      <w:r w:rsidR="00FE39D1">
        <w:rPr>
          <w:rFonts w:ascii="Bookman Old Style" w:hAnsi="Bookman Old Style"/>
          <w:sz w:val="24"/>
          <w:szCs w:val="24"/>
        </w:rPr>
        <w:t xml:space="preserve">the text </w:t>
      </w:r>
      <w:r w:rsidRPr="00FE39D1">
        <w:rPr>
          <w:rFonts w:ascii="Bookman Old Style" w:hAnsi="Bookman Old Style"/>
          <w:b/>
          <w:i/>
          <w:sz w:val="24"/>
          <w:szCs w:val="24"/>
        </w:rPr>
        <w:t>Ewan</w:t>
      </w:r>
      <w:r w:rsidR="00B354D6" w:rsidRPr="00FE39D1">
        <w:rPr>
          <w:rFonts w:ascii="Bookman Old Style" w:hAnsi="Bookman Old Style"/>
          <w:b/>
          <w:i/>
          <w:sz w:val="24"/>
          <w:szCs w:val="24"/>
        </w:rPr>
        <w:t xml:space="preserve"> Mckendrick, Contract Law,</w:t>
      </w:r>
      <w:r w:rsidR="00B354D6">
        <w:rPr>
          <w:rFonts w:ascii="Bookman Old Style" w:hAnsi="Bookman Old Style"/>
          <w:sz w:val="24"/>
          <w:szCs w:val="24"/>
        </w:rPr>
        <w:t xml:space="preserve"> at page 3 and the case of </w:t>
      </w:r>
      <w:r w:rsidR="00B354D6" w:rsidRPr="00B354D6">
        <w:rPr>
          <w:rFonts w:ascii="Bookman Old Style" w:hAnsi="Bookman Old Style"/>
          <w:b/>
          <w:i/>
          <w:sz w:val="24"/>
          <w:szCs w:val="24"/>
        </w:rPr>
        <w:t>Printing and Numeri</w:t>
      </w:r>
      <w:r w:rsidR="00CC79C9">
        <w:rPr>
          <w:rFonts w:ascii="Bookman Old Style" w:hAnsi="Bookman Old Style"/>
          <w:b/>
          <w:i/>
          <w:sz w:val="24"/>
          <w:szCs w:val="24"/>
        </w:rPr>
        <w:t>c</w:t>
      </w:r>
      <w:r w:rsidR="00B354D6" w:rsidRPr="00B354D6">
        <w:rPr>
          <w:rFonts w:ascii="Bookman Old Style" w:hAnsi="Bookman Old Style"/>
          <w:b/>
          <w:i/>
          <w:sz w:val="24"/>
          <w:szCs w:val="24"/>
        </w:rPr>
        <w:t>al Registering Co.-Vs-Simpson (1)</w:t>
      </w:r>
      <w:r w:rsidR="00CC79C9">
        <w:rPr>
          <w:rFonts w:ascii="Bookman Old Style" w:hAnsi="Bookman Old Style"/>
          <w:b/>
          <w:i/>
          <w:sz w:val="24"/>
          <w:szCs w:val="24"/>
        </w:rPr>
        <w:t>.</w:t>
      </w:r>
    </w:p>
    <w:p w:rsidR="00CC79C9" w:rsidRPr="00CC79C9" w:rsidRDefault="00CC79C9" w:rsidP="00E8034B">
      <w:pPr>
        <w:spacing w:line="360" w:lineRule="auto"/>
        <w:jc w:val="both"/>
        <w:rPr>
          <w:rFonts w:ascii="Bookman Old Style" w:hAnsi="Bookman Old Style"/>
          <w:sz w:val="24"/>
          <w:szCs w:val="24"/>
        </w:rPr>
      </w:pPr>
      <w:r>
        <w:rPr>
          <w:rFonts w:ascii="Bookman Old Style" w:hAnsi="Bookman Old Style"/>
          <w:sz w:val="24"/>
          <w:szCs w:val="24"/>
        </w:rPr>
        <w:t>Counsel ended by prayi</w:t>
      </w:r>
      <w:r w:rsidR="00FE39D1">
        <w:rPr>
          <w:rFonts w:ascii="Bookman Old Style" w:hAnsi="Bookman Old Style"/>
          <w:sz w:val="24"/>
          <w:szCs w:val="24"/>
        </w:rPr>
        <w:t>ng that these proceedings should be</w:t>
      </w:r>
      <w:r>
        <w:rPr>
          <w:rFonts w:ascii="Bookman Old Style" w:hAnsi="Bookman Old Style"/>
          <w:sz w:val="24"/>
          <w:szCs w:val="24"/>
        </w:rPr>
        <w:t xml:space="preserve"> stayed.</w:t>
      </w:r>
    </w:p>
    <w:p w:rsidR="007C13D1" w:rsidRDefault="007C13D1" w:rsidP="00E8034B">
      <w:pPr>
        <w:spacing w:line="360" w:lineRule="auto"/>
        <w:jc w:val="both"/>
        <w:rPr>
          <w:rFonts w:ascii="Bookman Old Style" w:hAnsi="Bookman Old Style"/>
          <w:sz w:val="24"/>
          <w:szCs w:val="24"/>
        </w:rPr>
      </w:pPr>
      <w:r>
        <w:rPr>
          <w:rFonts w:ascii="Bookman Old Style" w:hAnsi="Bookman Old Style"/>
          <w:sz w:val="24"/>
          <w:szCs w:val="24"/>
        </w:rPr>
        <w:t>In his submissions counsel for the Applicant Mr. L. Zulu argued from two limbs. In the first limb he argued thus: the matter is properly before this Court because the arbitration clause that the Respondent seeks to invoke is inoperative; the matters before this Court are not subject to any arbitration clause; and the arbitration clause relied upon</w:t>
      </w:r>
      <w:r w:rsidR="0077353C">
        <w:rPr>
          <w:rFonts w:ascii="Bookman Old Style" w:hAnsi="Bookman Old Style"/>
          <w:sz w:val="24"/>
          <w:szCs w:val="24"/>
        </w:rPr>
        <w:t xml:space="preserve"> by the Respondent is contained in the personal guarantee which is a separate document and contract from the </w:t>
      </w:r>
      <w:r w:rsidR="0077353C">
        <w:rPr>
          <w:rFonts w:ascii="Bookman Old Style" w:hAnsi="Bookman Old Style"/>
          <w:sz w:val="24"/>
          <w:szCs w:val="24"/>
        </w:rPr>
        <w:lastRenderedPageBreak/>
        <w:t>mortgage deed.</w:t>
      </w:r>
      <w:r>
        <w:rPr>
          <w:rFonts w:ascii="Bookman Old Style" w:hAnsi="Bookman Old Style"/>
          <w:sz w:val="24"/>
          <w:szCs w:val="24"/>
        </w:rPr>
        <w:t xml:space="preserve"> </w:t>
      </w:r>
      <w:r w:rsidR="0077353C">
        <w:rPr>
          <w:rFonts w:ascii="Bookman Old Style" w:hAnsi="Bookman Old Style"/>
          <w:sz w:val="24"/>
          <w:szCs w:val="24"/>
        </w:rPr>
        <w:t>Counsel relied upon sect</w:t>
      </w:r>
      <w:r w:rsidR="00CC79C9">
        <w:rPr>
          <w:rFonts w:ascii="Bookman Old Style" w:hAnsi="Bookman Old Style"/>
          <w:sz w:val="24"/>
          <w:szCs w:val="24"/>
        </w:rPr>
        <w:t xml:space="preserve">ion 10 of the </w:t>
      </w:r>
      <w:r w:rsidR="00CC79C9" w:rsidRPr="00CC79C9">
        <w:rPr>
          <w:rFonts w:ascii="Bookman Old Style" w:hAnsi="Bookman Old Style"/>
          <w:b/>
          <w:i/>
          <w:sz w:val="24"/>
          <w:szCs w:val="24"/>
        </w:rPr>
        <w:t>Arbitration Act</w:t>
      </w:r>
      <w:r w:rsidR="0077353C">
        <w:rPr>
          <w:rFonts w:ascii="Bookman Old Style" w:hAnsi="Bookman Old Style"/>
          <w:sz w:val="24"/>
          <w:szCs w:val="24"/>
        </w:rPr>
        <w:t xml:space="preserve"> in articulating the foregoing arguments without elaborating.</w:t>
      </w:r>
    </w:p>
    <w:p w:rsidR="0077353C" w:rsidRDefault="0077353C" w:rsidP="00E8034B">
      <w:pPr>
        <w:spacing w:line="360" w:lineRule="auto"/>
        <w:jc w:val="both"/>
        <w:rPr>
          <w:rFonts w:ascii="Bookman Old Style" w:hAnsi="Bookman Old Style"/>
          <w:sz w:val="24"/>
          <w:szCs w:val="24"/>
        </w:rPr>
      </w:pPr>
      <w:r>
        <w:rPr>
          <w:rFonts w:ascii="Bookman Old Style" w:hAnsi="Bookman Old Style"/>
          <w:sz w:val="24"/>
          <w:szCs w:val="24"/>
        </w:rPr>
        <w:t xml:space="preserve">In the second limb, counsel began </w:t>
      </w:r>
      <w:r w:rsidR="00B74C5C">
        <w:rPr>
          <w:rFonts w:ascii="Bookman Old Style" w:hAnsi="Bookman Old Style"/>
          <w:sz w:val="24"/>
          <w:szCs w:val="24"/>
        </w:rPr>
        <w:t>by arguing that Order 42 rule 5A</w:t>
      </w:r>
      <w:r>
        <w:rPr>
          <w:rFonts w:ascii="Bookman Old Style" w:hAnsi="Bookman Old Style"/>
          <w:sz w:val="24"/>
          <w:szCs w:val="24"/>
        </w:rPr>
        <w:t xml:space="preserve"> subrule 4 of the </w:t>
      </w:r>
      <w:r w:rsidRPr="00CC79C9">
        <w:rPr>
          <w:rFonts w:ascii="Bookman Old Style" w:hAnsi="Bookman Old Style"/>
          <w:b/>
          <w:i/>
          <w:sz w:val="24"/>
          <w:szCs w:val="24"/>
        </w:rPr>
        <w:t>white book</w:t>
      </w:r>
      <w:r>
        <w:rPr>
          <w:rFonts w:ascii="Bookman Old Style" w:hAnsi="Bookman Old Style"/>
          <w:sz w:val="24"/>
          <w:szCs w:val="24"/>
        </w:rPr>
        <w:t xml:space="preserve"> cited by the Respondent’s counsel has no relevance to the matters before this Court because the parties have not executed a consent</w:t>
      </w:r>
      <w:r w:rsidR="00CC79C9">
        <w:rPr>
          <w:rFonts w:ascii="Bookman Old Style" w:hAnsi="Bookman Old Style"/>
          <w:sz w:val="24"/>
          <w:szCs w:val="24"/>
        </w:rPr>
        <w:t xml:space="preserve"> order. It was</w:t>
      </w:r>
      <w:r>
        <w:rPr>
          <w:rFonts w:ascii="Bookman Old Style" w:hAnsi="Bookman Old Style"/>
          <w:sz w:val="24"/>
          <w:szCs w:val="24"/>
        </w:rPr>
        <w:t xml:space="preserve"> argued further that the Applicant agrees that public policy demands that the Court must</w:t>
      </w:r>
      <w:r w:rsidR="00E15EF9">
        <w:rPr>
          <w:rFonts w:ascii="Bookman Old Style" w:hAnsi="Bookman Old Style"/>
          <w:sz w:val="24"/>
          <w:szCs w:val="24"/>
        </w:rPr>
        <w:t xml:space="preserve"> give effect to the </w:t>
      </w:r>
      <w:r w:rsidR="003C7EC3">
        <w:rPr>
          <w:rFonts w:ascii="Bookman Old Style" w:hAnsi="Bookman Old Style"/>
          <w:sz w:val="24"/>
          <w:szCs w:val="24"/>
        </w:rPr>
        <w:t>parties’</w:t>
      </w:r>
      <w:r w:rsidR="00E15EF9">
        <w:rPr>
          <w:rFonts w:ascii="Bookman Old Style" w:hAnsi="Bookman Old Style"/>
          <w:sz w:val="24"/>
          <w:szCs w:val="24"/>
        </w:rPr>
        <w:t xml:space="preserve"> contractual obligations. It is for this</w:t>
      </w:r>
      <w:r>
        <w:rPr>
          <w:rFonts w:ascii="Bookman Old Style" w:hAnsi="Bookman Old Style"/>
          <w:sz w:val="24"/>
          <w:szCs w:val="24"/>
        </w:rPr>
        <w:t xml:space="preserve"> </w:t>
      </w:r>
      <w:r w:rsidR="00CB22ED">
        <w:rPr>
          <w:rFonts w:ascii="Bookman Old Style" w:hAnsi="Bookman Old Style"/>
          <w:sz w:val="24"/>
          <w:szCs w:val="24"/>
        </w:rPr>
        <w:t>reason</w:t>
      </w:r>
      <w:r w:rsidR="00CC79C9">
        <w:rPr>
          <w:rFonts w:ascii="Bookman Old Style" w:hAnsi="Bookman Old Style"/>
          <w:sz w:val="24"/>
          <w:szCs w:val="24"/>
        </w:rPr>
        <w:t>,</w:t>
      </w:r>
      <w:r w:rsidR="00CB22ED">
        <w:rPr>
          <w:rFonts w:ascii="Bookman Old Style" w:hAnsi="Bookman Old Style"/>
          <w:sz w:val="24"/>
          <w:szCs w:val="24"/>
        </w:rPr>
        <w:t xml:space="preserve"> it was argued</w:t>
      </w:r>
      <w:r w:rsidR="00CC79C9">
        <w:rPr>
          <w:rFonts w:ascii="Bookman Old Style" w:hAnsi="Bookman Old Style"/>
          <w:sz w:val="24"/>
          <w:szCs w:val="24"/>
        </w:rPr>
        <w:t>,</w:t>
      </w:r>
      <w:r w:rsidR="00CB22ED">
        <w:rPr>
          <w:rFonts w:ascii="Bookman Old Style" w:hAnsi="Bookman Old Style"/>
          <w:sz w:val="24"/>
          <w:szCs w:val="24"/>
        </w:rPr>
        <w:t xml:space="preserve"> that the Applicant took out the originating summons for purposes of enforcing the Respondent’s contractual obligations.  He ended by arguing that</w:t>
      </w:r>
      <w:r w:rsidR="00651097">
        <w:rPr>
          <w:rFonts w:ascii="Bookman Old Style" w:hAnsi="Bookman Old Style"/>
          <w:sz w:val="24"/>
          <w:szCs w:val="24"/>
        </w:rPr>
        <w:t xml:space="preserve"> if the Respondent has a dispute against the Applicant touching on the personal guarantee, he is free to commence arbitration proceedings which can continue whilst Court proceedings are going on.</w:t>
      </w:r>
    </w:p>
    <w:p w:rsidR="00651097" w:rsidRDefault="00651097" w:rsidP="00E8034B">
      <w:pPr>
        <w:spacing w:line="360" w:lineRule="auto"/>
        <w:jc w:val="both"/>
        <w:rPr>
          <w:rFonts w:ascii="Bookman Old Style" w:hAnsi="Bookman Old Style"/>
          <w:sz w:val="24"/>
          <w:szCs w:val="24"/>
        </w:rPr>
      </w:pPr>
      <w:r>
        <w:rPr>
          <w:rFonts w:ascii="Bookman Old Style" w:hAnsi="Bookman Old Style"/>
          <w:sz w:val="24"/>
          <w:szCs w:val="24"/>
        </w:rPr>
        <w:t xml:space="preserve">In his reply, Mr. O. Mubanga argued that the personal guarantee is part and parcel of </w:t>
      </w:r>
      <w:r w:rsidR="00B45F95">
        <w:rPr>
          <w:rFonts w:ascii="Bookman Old Style" w:hAnsi="Bookman Old Style"/>
          <w:sz w:val="24"/>
          <w:szCs w:val="24"/>
        </w:rPr>
        <w:t>these proceedings.  It was</w:t>
      </w:r>
      <w:r w:rsidR="00CC79C9">
        <w:rPr>
          <w:rFonts w:ascii="Bookman Old Style" w:hAnsi="Bookman Old Style"/>
          <w:sz w:val="24"/>
          <w:szCs w:val="24"/>
        </w:rPr>
        <w:t>, he argued produced by the A</w:t>
      </w:r>
      <w:r w:rsidR="00B45F95">
        <w:rPr>
          <w:rFonts w:ascii="Bookman Old Style" w:hAnsi="Bookman Old Style"/>
          <w:sz w:val="24"/>
          <w:szCs w:val="24"/>
        </w:rPr>
        <w:t>pplicant as “BB17” to “23” and it belongs to them.</w:t>
      </w:r>
    </w:p>
    <w:p w:rsidR="00B45F95" w:rsidRDefault="00B45F95" w:rsidP="00E8034B">
      <w:pPr>
        <w:spacing w:line="360" w:lineRule="auto"/>
        <w:jc w:val="both"/>
        <w:rPr>
          <w:rFonts w:ascii="Bookman Old Style" w:hAnsi="Bookman Old Style"/>
          <w:sz w:val="24"/>
          <w:szCs w:val="24"/>
        </w:rPr>
      </w:pPr>
      <w:r>
        <w:rPr>
          <w:rFonts w:ascii="Bookman Old Style" w:hAnsi="Bookman Old Style"/>
          <w:sz w:val="24"/>
          <w:szCs w:val="24"/>
        </w:rPr>
        <w:t>I have considered the affidavit evidence and the arguments</w:t>
      </w:r>
      <w:r w:rsidR="00B74C5C">
        <w:rPr>
          <w:rFonts w:ascii="Bookman Old Style" w:hAnsi="Bookman Old Style"/>
          <w:sz w:val="24"/>
          <w:szCs w:val="24"/>
        </w:rPr>
        <w:t xml:space="preserve"> by counsel</w:t>
      </w:r>
      <w:r>
        <w:rPr>
          <w:rFonts w:ascii="Bookman Old Style" w:hAnsi="Bookman Old Style"/>
          <w:sz w:val="24"/>
          <w:szCs w:val="24"/>
        </w:rPr>
        <w:t>. The following facts are not in dispute, that is to say:</w:t>
      </w:r>
    </w:p>
    <w:p w:rsidR="00B45F95" w:rsidRPr="00B45F95" w:rsidRDefault="00B45F95" w:rsidP="00E8034B">
      <w:pPr>
        <w:pStyle w:val="ListParagraph"/>
        <w:numPr>
          <w:ilvl w:val="0"/>
          <w:numId w:val="2"/>
        </w:numPr>
        <w:spacing w:line="360" w:lineRule="auto"/>
        <w:jc w:val="both"/>
        <w:rPr>
          <w:rFonts w:ascii="Bookman Old Style" w:hAnsi="Bookman Old Style"/>
          <w:i/>
          <w:sz w:val="24"/>
          <w:szCs w:val="24"/>
        </w:rPr>
      </w:pPr>
      <w:r w:rsidRPr="00B45F95">
        <w:rPr>
          <w:rFonts w:ascii="Bookman Old Style" w:hAnsi="Bookman Old Style"/>
          <w:i/>
          <w:sz w:val="24"/>
          <w:szCs w:val="24"/>
        </w:rPr>
        <w:t>that the parties entered into a loan agreement by which the applicant extended to the Respondent the sum of U</w:t>
      </w:r>
      <w:r w:rsidR="00CC79C9">
        <w:rPr>
          <w:rFonts w:ascii="Bookman Old Style" w:hAnsi="Bookman Old Style"/>
          <w:i/>
          <w:sz w:val="24"/>
          <w:szCs w:val="24"/>
        </w:rPr>
        <w:t>SD 100,000</w:t>
      </w:r>
      <w:r w:rsidRPr="00B45F95">
        <w:rPr>
          <w:rFonts w:ascii="Bookman Old Style" w:hAnsi="Bookman Old Style"/>
          <w:i/>
          <w:sz w:val="24"/>
          <w:szCs w:val="24"/>
        </w:rPr>
        <w:t>.00</w:t>
      </w:r>
    </w:p>
    <w:p w:rsidR="00B45F95" w:rsidRDefault="00B45F95" w:rsidP="00E8034B">
      <w:pPr>
        <w:pStyle w:val="ListParagraph"/>
        <w:numPr>
          <w:ilvl w:val="0"/>
          <w:numId w:val="2"/>
        </w:numPr>
        <w:spacing w:line="360" w:lineRule="auto"/>
        <w:jc w:val="both"/>
        <w:rPr>
          <w:rFonts w:ascii="Bookman Old Style" w:hAnsi="Bookman Old Style"/>
          <w:i/>
          <w:sz w:val="24"/>
          <w:szCs w:val="24"/>
        </w:rPr>
      </w:pPr>
      <w:r w:rsidRPr="00B45F95">
        <w:rPr>
          <w:rFonts w:ascii="Bookman Old Style" w:hAnsi="Bookman Old Style"/>
          <w:i/>
          <w:sz w:val="24"/>
          <w:szCs w:val="24"/>
        </w:rPr>
        <w:t>that the said agreement was evidenced by three documents, namely, the mortgage deed, personal guarantee and facility letter</w:t>
      </w:r>
    </w:p>
    <w:p w:rsidR="00CC79C9" w:rsidRPr="00B45F95" w:rsidRDefault="00CC79C9" w:rsidP="00E8034B">
      <w:pPr>
        <w:pStyle w:val="ListParagraph"/>
        <w:numPr>
          <w:ilvl w:val="0"/>
          <w:numId w:val="2"/>
        </w:numPr>
        <w:spacing w:line="360" w:lineRule="auto"/>
        <w:jc w:val="both"/>
        <w:rPr>
          <w:rFonts w:ascii="Bookman Old Style" w:hAnsi="Bookman Old Style"/>
          <w:i/>
          <w:sz w:val="24"/>
          <w:szCs w:val="24"/>
        </w:rPr>
      </w:pPr>
      <w:r>
        <w:rPr>
          <w:rFonts w:ascii="Bookman Old Style" w:hAnsi="Bookman Old Style"/>
          <w:i/>
          <w:sz w:val="24"/>
          <w:szCs w:val="24"/>
        </w:rPr>
        <w:t>there is an arbitration clause in the personal guarantee</w:t>
      </w:r>
    </w:p>
    <w:p w:rsidR="00B45F95" w:rsidRPr="00B45F95" w:rsidRDefault="00B45F95" w:rsidP="00E8034B">
      <w:pPr>
        <w:pStyle w:val="ListParagraph"/>
        <w:numPr>
          <w:ilvl w:val="0"/>
          <w:numId w:val="2"/>
        </w:numPr>
        <w:spacing w:line="360" w:lineRule="auto"/>
        <w:jc w:val="both"/>
        <w:rPr>
          <w:rFonts w:ascii="Bookman Old Style" w:hAnsi="Bookman Old Style"/>
          <w:i/>
          <w:sz w:val="24"/>
          <w:szCs w:val="24"/>
        </w:rPr>
      </w:pPr>
      <w:r w:rsidRPr="00B45F95">
        <w:rPr>
          <w:rFonts w:ascii="Bookman Old Style" w:hAnsi="Bookman Old Style"/>
          <w:i/>
          <w:sz w:val="24"/>
          <w:szCs w:val="24"/>
        </w:rPr>
        <w:t>there is no arbitration</w:t>
      </w:r>
      <w:r w:rsidR="00B74C5C">
        <w:rPr>
          <w:rFonts w:ascii="Bookman Old Style" w:hAnsi="Bookman Old Style"/>
          <w:i/>
          <w:sz w:val="24"/>
          <w:szCs w:val="24"/>
        </w:rPr>
        <w:t xml:space="preserve"> clause</w:t>
      </w:r>
      <w:r w:rsidRPr="00B45F95">
        <w:rPr>
          <w:rFonts w:ascii="Bookman Old Style" w:hAnsi="Bookman Old Style"/>
          <w:i/>
          <w:sz w:val="24"/>
          <w:szCs w:val="24"/>
        </w:rPr>
        <w:t xml:space="preserve"> in the facility letter or mortgage deed</w:t>
      </w:r>
    </w:p>
    <w:p w:rsidR="00B45F95" w:rsidRPr="00B45F95" w:rsidRDefault="00B45F95" w:rsidP="00E8034B">
      <w:pPr>
        <w:pStyle w:val="ListParagraph"/>
        <w:numPr>
          <w:ilvl w:val="0"/>
          <w:numId w:val="2"/>
        </w:numPr>
        <w:spacing w:line="360" w:lineRule="auto"/>
        <w:jc w:val="both"/>
        <w:rPr>
          <w:rFonts w:ascii="Bookman Old Style" w:hAnsi="Bookman Old Style"/>
          <w:i/>
          <w:sz w:val="24"/>
          <w:szCs w:val="24"/>
        </w:rPr>
      </w:pPr>
      <w:r w:rsidRPr="00B45F95">
        <w:rPr>
          <w:rFonts w:ascii="Bookman Old Style" w:hAnsi="Bookman Old Style"/>
          <w:i/>
          <w:sz w:val="24"/>
          <w:szCs w:val="24"/>
        </w:rPr>
        <w:t>a dispute has arisen out of the loan agreement</w:t>
      </w:r>
    </w:p>
    <w:p w:rsidR="00B45F95" w:rsidRDefault="00B45F95" w:rsidP="00E8034B">
      <w:pPr>
        <w:spacing w:line="360" w:lineRule="auto"/>
        <w:jc w:val="both"/>
        <w:rPr>
          <w:rFonts w:ascii="Bookman Old Style" w:hAnsi="Bookman Old Style"/>
          <w:sz w:val="24"/>
          <w:szCs w:val="24"/>
        </w:rPr>
      </w:pPr>
      <w:r>
        <w:rPr>
          <w:rFonts w:ascii="Bookman Old Style" w:hAnsi="Bookman Old Style"/>
          <w:sz w:val="24"/>
          <w:szCs w:val="24"/>
        </w:rPr>
        <w:t xml:space="preserve">Having stated the facts that are not in dispute, it is my </w:t>
      </w:r>
      <w:r w:rsidR="00293A17">
        <w:rPr>
          <w:rFonts w:ascii="Bookman Old Style" w:hAnsi="Bookman Old Style"/>
          <w:sz w:val="24"/>
          <w:szCs w:val="24"/>
        </w:rPr>
        <w:t>considered view, that the issue</w:t>
      </w:r>
      <w:r>
        <w:rPr>
          <w:rFonts w:ascii="Bookman Old Style" w:hAnsi="Bookman Old Style"/>
          <w:sz w:val="24"/>
          <w:szCs w:val="24"/>
        </w:rPr>
        <w:t xml:space="preserve"> that aris</w:t>
      </w:r>
      <w:r w:rsidR="00293A17">
        <w:rPr>
          <w:rFonts w:ascii="Bookman Old Style" w:hAnsi="Bookman Old Style"/>
          <w:sz w:val="24"/>
          <w:szCs w:val="24"/>
        </w:rPr>
        <w:t>es is: is the dispute between the parties</w:t>
      </w:r>
      <w:r>
        <w:rPr>
          <w:rFonts w:ascii="Bookman Old Style" w:hAnsi="Bookman Old Style"/>
          <w:sz w:val="24"/>
          <w:szCs w:val="24"/>
        </w:rPr>
        <w:t xml:space="preserve"> one of the disputes agreed to be referred to arbitration?</w:t>
      </w:r>
    </w:p>
    <w:p w:rsidR="00B45F95" w:rsidRDefault="00DC7BDE" w:rsidP="00E8034B">
      <w:pPr>
        <w:spacing w:line="360" w:lineRule="auto"/>
        <w:jc w:val="both"/>
        <w:rPr>
          <w:rFonts w:ascii="Bookman Old Style" w:hAnsi="Bookman Old Style"/>
          <w:sz w:val="24"/>
          <w:szCs w:val="24"/>
        </w:rPr>
      </w:pPr>
      <w:r>
        <w:rPr>
          <w:rFonts w:ascii="Bookman Old Style" w:hAnsi="Bookman Old Style"/>
          <w:sz w:val="24"/>
          <w:szCs w:val="24"/>
        </w:rPr>
        <w:lastRenderedPageBreak/>
        <w:t>B</w:t>
      </w:r>
      <w:r w:rsidR="00FB05CF">
        <w:rPr>
          <w:rFonts w:ascii="Bookman Old Style" w:hAnsi="Bookman Old Style"/>
          <w:sz w:val="24"/>
          <w:szCs w:val="24"/>
        </w:rPr>
        <w:t xml:space="preserve">y virtue of section 10 of the </w:t>
      </w:r>
      <w:r w:rsidR="00FB05CF" w:rsidRPr="006B3D52">
        <w:rPr>
          <w:rFonts w:ascii="Bookman Old Style" w:hAnsi="Bookman Old Style"/>
          <w:b/>
          <w:i/>
          <w:sz w:val="24"/>
          <w:szCs w:val="24"/>
        </w:rPr>
        <w:t>Arbitration Act</w:t>
      </w:r>
      <w:r w:rsidR="00FB05CF">
        <w:rPr>
          <w:rFonts w:ascii="Bookman Old Style" w:hAnsi="Bookman Old Style"/>
          <w:sz w:val="24"/>
          <w:szCs w:val="24"/>
        </w:rPr>
        <w:t>, where the parties have agreed to refer their dispute to arbitration, the Court is obliged upon</w:t>
      </w:r>
      <w:r>
        <w:rPr>
          <w:rFonts w:ascii="Bookman Old Style" w:hAnsi="Bookman Old Style"/>
          <w:sz w:val="24"/>
          <w:szCs w:val="24"/>
        </w:rPr>
        <w:t>,</w:t>
      </w:r>
      <w:r w:rsidR="00FB05CF">
        <w:rPr>
          <w:rFonts w:ascii="Bookman Old Style" w:hAnsi="Bookman Old Style"/>
          <w:sz w:val="24"/>
          <w:szCs w:val="24"/>
        </w:rPr>
        <w:t xml:space="preserve"> application by one of the parties</w:t>
      </w:r>
      <w:r>
        <w:rPr>
          <w:rFonts w:ascii="Bookman Old Style" w:hAnsi="Bookman Old Style"/>
          <w:sz w:val="24"/>
          <w:szCs w:val="24"/>
        </w:rPr>
        <w:t>,</w:t>
      </w:r>
      <w:r w:rsidR="00FB05CF">
        <w:rPr>
          <w:rFonts w:ascii="Bookman Old Style" w:hAnsi="Bookman Old Style"/>
          <w:sz w:val="24"/>
          <w:szCs w:val="24"/>
        </w:rPr>
        <w:t xml:space="preserve"> to stay proceedings and refer the parties to arbitration. The section states as follows:</w:t>
      </w:r>
    </w:p>
    <w:p w:rsidR="00F841F9" w:rsidRPr="00F841F9" w:rsidRDefault="00F841F9" w:rsidP="00E8034B">
      <w:pPr>
        <w:spacing w:line="360" w:lineRule="auto"/>
        <w:ind w:left="720"/>
        <w:jc w:val="both"/>
        <w:rPr>
          <w:rFonts w:ascii="Bookman Old Style" w:hAnsi="Bookman Old Style"/>
          <w:b/>
          <w:i/>
          <w:sz w:val="24"/>
          <w:szCs w:val="24"/>
        </w:rPr>
      </w:pPr>
      <w:r w:rsidRPr="00F841F9">
        <w:rPr>
          <w:rFonts w:ascii="Bookman Old Style" w:hAnsi="Bookman Old Style"/>
          <w:b/>
          <w:i/>
          <w:sz w:val="24"/>
          <w:szCs w:val="24"/>
        </w:rPr>
        <w:t>“10. (1) A Court before which legal proceedings are brought in a matter which is the subject of an arbitration agreement shall, if a party so requests at any stage of the proceedings and</w:t>
      </w:r>
      <w:r>
        <w:rPr>
          <w:rFonts w:ascii="Bookman Old Style" w:hAnsi="Bookman Old Style"/>
          <w:b/>
          <w:i/>
          <w:sz w:val="24"/>
          <w:szCs w:val="24"/>
        </w:rPr>
        <w:t xml:space="preserve"> </w:t>
      </w:r>
      <w:r w:rsidRPr="00F841F9">
        <w:rPr>
          <w:rFonts w:ascii="Bookman Old Style" w:hAnsi="Bookman Old Style"/>
          <w:b/>
          <w:i/>
          <w:sz w:val="24"/>
          <w:szCs w:val="24"/>
        </w:rPr>
        <w:t>notwithstanding any written law, stay those proceedings and refer the parties to arbitration unless it finds that the agreement is null and void, inoperative or incapable of being performed.”</w:t>
      </w:r>
    </w:p>
    <w:p w:rsidR="00F841F9" w:rsidRDefault="00F841F9" w:rsidP="00E8034B">
      <w:pPr>
        <w:spacing w:line="360" w:lineRule="auto"/>
        <w:jc w:val="both"/>
        <w:rPr>
          <w:rFonts w:ascii="Bookman Old Style" w:hAnsi="Bookman Old Style"/>
          <w:sz w:val="24"/>
          <w:szCs w:val="24"/>
        </w:rPr>
      </w:pPr>
      <w:r>
        <w:rPr>
          <w:rFonts w:ascii="Bookman Old Style" w:hAnsi="Bookman Old Style"/>
          <w:sz w:val="24"/>
          <w:szCs w:val="24"/>
        </w:rPr>
        <w:t>Therefore, if the answer to the issue I have highlighted in the earlier part of this ruling is in the affirmative, I am oblige to grant the relief sought by the Respondent and stay these proceedings and refer the parties to arbitration. Further, the answer to the issue raised lies in the nature and extent of the claim in this action and the interpretation of the extent of the arbitration clause as contained in the personal guarantee. I will begin by addressing the nature and extent of the claim.</w:t>
      </w:r>
    </w:p>
    <w:p w:rsidR="00192194" w:rsidRDefault="00F841F9" w:rsidP="00E8034B">
      <w:pPr>
        <w:spacing w:line="360" w:lineRule="auto"/>
        <w:jc w:val="both"/>
        <w:rPr>
          <w:rFonts w:ascii="Bookman Old Style" w:hAnsi="Bookman Old Style"/>
          <w:sz w:val="24"/>
          <w:szCs w:val="24"/>
        </w:rPr>
      </w:pPr>
      <w:r>
        <w:rPr>
          <w:rFonts w:ascii="Bookman Old Style" w:hAnsi="Bookman Old Style"/>
          <w:sz w:val="24"/>
          <w:szCs w:val="24"/>
        </w:rPr>
        <w:t>By the originating summons</w:t>
      </w:r>
      <w:r w:rsidR="0066421B">
        <w:rPr>
          <w:rFonts w:ascii="Bookman Old Style" w:hAnsi="Bookman Old Style"/>
          <w:sz w:val="24"/>
          <w:szCs w:val="24"/>
        </w:rPr>
        <w:t xml:space="preserve"> filed herein</w:t>
      </w:r>
      <w:r>
        <w:rPr>
          <w:rFonts w:ascii="Bookman Old Style" w:hAnsi="Bookman Old Style"/>
          <w:sz w:val="24"/>
          <w:szCs w:val="24"/>
        </w:rPr>
        <w:t>, the Applicant seeks to enforce the Respondent</w:t>
      </w:r>
      <w:r w:rsidR="0066421B">
        <w:rPr>
          <w:rFonts w:ascii="Bookman Old Style" w:hAnsi="Bookman Old Style"/>
          <w:sz w:val="24"/>
          <w:szCs w:val="24"/>
        </w:rPr>
        <w:t>’</w:t>
      </w:r>
      <w:r>
        <w:rPr>
          <w:rFonts w:ascii="Bookman Old Style" w:hAnsi="Bookman Old Style"/>
          <w:sz w:val="24"/>
          <w:szCs w:val="24"/>
        </w:rPr>
        <w:t xml:space="preserve">s obligations in the mortgage deed executed by the parties. In doing so it seeks the </w:t>
      </w:r>
      <w:r w:rsidR="0066421B">
        <w:rPr>
          <w:rFonts w:ascii="Bookman Old Style" w:hAnsi="Bookman Old Style"/>
          <w:sz w:val="24"/>
          <w:szCs w:val="24"/>
        </w:rPr>
        <w:t>following relief as per the endorsement</w:t>
      </w:r>
      <w:r>
        <w:rPr>
          <w:rFonts w:ascii="Bookman Old Style" w:hAnsi="Bookman Old Style"/>
          <w:sz w:val="24"/>
          <w:szCs w:val="24"/>
        </w:rPr>
        <w:t>:</w:t>
      </w:r>
    </w:p>
    <w:p w:rsidR="00192194" w:rsidRPr="00946304" w:rsidRDefault="00F303DE" w:rsidP="00F303DE">
      <w:pPr>
        <w:spacing w:line="360" w:lineRule="auto"/>
        <w:ind w:left="1440" w:hanging="720"/>
        <w:jc w:val="both"/>
        <w:rPr>
          <w:rFonts w:ascii="Bookman Old Style" w:hAnsi="Bookman Old Style"/>
          <w:i/>
          <w:sz w:val="24"/>
          <w:szCs w:val="24"/>
        </w:rPr>
      </w:pPr>
      <w:r w:rsidRPr="00946304">
        <w:rPr>
          <w:rFonts w:ascii="Bookman Old Style" w:hAnsi="Bookman Old Style"/>
          <w:i/>
          <w:sz w:val="24"/>
          <w:szCs w:val="24"/>
        </w:rPr>
        <w:t>“1.</w:t>
      </w:r>
      <w:r w:rsidRPr="00F303DE">
        <w:rPr>
          <w:rFonts w:ascii="Bookman Old Style" w:hAnsi="Bookman Old Style"/>
          <w:b/>
          <w:i/>
          <w:sz w:val="24"/>
          <w:szCs w:val="24"/>
        </w:rPr>
        <w:tab/>
      </w:r>
      <w:r w:rsidR="00DC361A">
        <w:rPr>
          <w:rFonts w:ascii="Bookman Old Style" w:hAnsi="Bookman Old Style"/>
          <w:i/>
          <w:sz w:val="24"/>
          <w:szCs w:val="24"/>
        </w:rPr>
        <w:t>An Order against the Responde</w:t>
      </w:r>
      <w:r w:rsidRPr="00946304">
        <w:rPr>
          <w:rFonts w:ascii="Bookman Old Style" w:hAnsi="Bookman Old Style"/>
          <w:i/>
          <w:sz w:val="24"/>
          <w:szCs w:val="24"/>
        </w:rPr>
        <w:t>nt for the payment of the sum of US$127,917.98 being outstanding balance owing from the Respondent in respect of a Loan facilities granted to him</w:t>
      </w:r>
    </w:p>
    <w:p w:rsidR="00F303DE" w:rsidRPr="00946304" w:rsidRDefault="00F303DE" w:rsidP="00F303DE">
      <w:pPr>
        <w:spacing w:line="360" w:lineRule="auto"/>
        <w:ind w:left="1440" w:hanging="720"/>
        <w:jc w:val="both"/>
        <w:rPr>
          <w:rFonts w:ascii="Bookman Old Style" w:hAnsi="Bookman Old Style"/>
          <w:i/>
          <w:sz w:val="24"/>
          <w:szCs w:val="24"/>
        </w:rPr>
      </w:pPr>
      <w:r w:rsidRPr="00946304">
        <w:rPr>
          <w:rFonts w:ascii="Bookman Old Style" w:hAnsi="Bookman Old Style"/>
          <w:i/>
          <w:sz w:val="24"/>
          <w:szCs w:val="24"/>
        </w:rPr>
        <w:t>2.</w:t>
      </w:r>
      <w:r w:rsidRPr="00946304">
        <w:rPr>
          <w:rFonts w:ascii="Bookman Old Style" w:hAnsi="Bookman Old Style"/>
          <w:i/>
          <w:sz w:val="24"/>
          <w:szCs w:val="24"/>
        </w:rPr>
        <w:tab/>
        <w:t>An order that should the Respondent fail, neglect or refuse to pay the aforementioned monies, the Legal Mortgage created by the Respondent for the benefit of the Applicant in respect of Stand No.6486 he enforced by an Order of Foreclosure, vacant possession and sale thereof</w:t>
      </w:r>
    </w:p>
    <w:p w:rsidR="00F303DE" w:rsidRPr="00946304" w:rsidRDefault="00F303DE" w:rsidP="00F303DE">
      <w:pPr>
        <w:spacing w:line="360" w:lineRule="auto"/>
        <w:ind w:left="1440" w:hanging="720"/>
        <w:jc w:val="both"/>
        <w:rPr>
          <w:rFonts w:ascii="Bookman Old Style" w:hAnsi="Bookman Old Style"/>
          <w:i/>
          <w:sz w:val="24"/>
          <w:szCs w:val="24"/>
        </w:rPr>
      </w:pPr>
      <w:r w:rsidRPr="00946304">
        <w:rPr>
          <w:rFonts w:ascii="Bookman Old Style" w:hAnsi="Bookman Old Style"/>
          <w:i/>
          <w:sz w:val="24"/>
          <w:szCs w:val="24"/>
        </w:rPr>
        <w:lastRenderedPageBreak/>
        <w:t>3.</w:t>
      </w:r>
      <w:r w:rsidRPr="00946304">
        <w:rPr>
          <w:rFonts w:ascii="Bookman Old Style" w:hAnsi="Bookman Old Style"/>
          <w:i/>
          <w:sz w:val="24"/>
          <w:szCs w:val="24"/>
        </w:rPr>
        <w:tab/>
        <w:t>Payment of interest on the monies stated in (1) above at the agreed rate</w:t>
      </w:r>
    </w:p>
    <w:p w:rsidR="00F303DE" w:rsidRPr="00946304" w:rsidRDefault="00F303DE" w:rsidP="00F303DE">
      <w:pPr>
        <w:spacing w:line="360" w:lineRule="auto"/>
        <w:ind w:left="1440" w:hanging="720"/>
        <w:jc w:val="both"/>
        <w:rPr>
          <w:rFonts w:ascii="Bookman Old Style" w:hAnsi="Bookman Old Style"/>
          <w:i/>
          <w:sz w:val="24"/>
          <w:szCs w:val="24"/>
        </w:rPr>
      </w:pPr>
      <w:r w:rsidRPr="00946304">
        <w:rPr>
          <w:rFonts w:ascii="Bookman Old Style" w:hAnsi="Bookman Old Style"/>
          <w:i/>
          <w:sz w:val="24"/>
          <w:szCs w:val="24"/>
        </w:rPr>
        <w:t>4.</w:t>
      </w:r>
      <w:r w:rsidRPr="00946304">
        <w:rPr>
          <w:rFonts w:ascii="Bookman Old Style" w:hAnsi="Bookman Old Style"/>
          <w:i/>
          <w:sz w:val="24"/>
          <w:szCs w:val="24"/>
        </w:rPr>
        <w:tab/>
        <w:t xml:space="preserve">Further or other relief that the Court shall deem fit </w:t>
      </w:r>
    </w:p>
    <w:p w:rsidR="00F303DE" w:rsidRPr="00946304" w:rsidRDefault="00F303DE" w:rsidP="00F303DE">
      <w:pPr>
        <w:spacing w:line="360" w:lineRule="auto"/>
        <w:ind w:left="1440" w:hanging="720"/>
        <w:jc w:val="both"/>
        <w:rPr>
          <w:rFonts w:ascii="Bookman Old Style" w:hAnsi="Bookman Old Style"/>
          <w:i/>
          <w:sz w:val="24"/>
          <w:szCs w:val="24"/>
        </w:rPr>
      </w:pPr>
      <w:r w:rsidRPr="00946304">
        <w:rPr>
          <w:rFonts w:ascii="Bookman Old Style" w:hAnsi="Bookman Old Style"/>
          <w:i/>
          <w:sz w:val="24"/>
          <w:szCs w:val="24"/>
        </w:rPr>
        <w:t>5.</w:t>
      </w:r>
      <w:r w:rsidRPr="00946304">
        <w:rPr>
          <w:rFonts w:ascii="Bookman Old Style" w:hAnsi="Bookman Old Style"/>
          <w:i/>
          <w:sz w:val="24"/>
          <w:szCs w:val="24"/>
        </w:rPr>
        <w:tab/>
        <w:t>Costs.</w:t>
      </w:r>
      <w:r w:rsidR="0066421B">
        <w:rPr>
          <w:rFonts w:ascii="Bookman Old Style" w:hAnsi="Bookman Old Style"/>
          <w:i/>
          <w:sz w:val="24"/>
          <w:szCs w:val="24"/>
        </w:rPr>
        <w:t>”</w:t>
      </w:r>
    </w:p>
    <w:p w:rsidR="00192194" w:rsidRDefault="00192194" w:rsidP="00E8034B">
      <w:pPr>
        <w:spacing w:line="360" w:lineRule="auto"/>
        <w:jc w:val="both"/>
        <w:rPr>
          <w:rFonts w:ascii="Bookman Old Style" w:hAnsi="Bookman Old Style"/>
          <w:sz w:val="24"/>
          <w:szCs w:val="24"/>
        </w:rPr>
      </w:pPr>
      <w:r>
        <w:rPr>
          <w:rFonts w:ascii="Bookman Old Style" w:hAnsi="Bookman Old Style"/>
          <w:sz w:val="24"/>
          <w:szCs w:val="24"/>
        </w:rPr>
        <w:t xml:space="preserve">This claim is predicated on Order 30 rule 14 of the </w:t>
      </w:r>
      <w:r w:rsidRPr="006B3D52">
        <w:rPr>
          <w:rFonts w:ascii="Bookman Old Style" w:hAnsi="Bookman Old Style"/>
          <w:b/>
          <w:i/>
          <w:sz w:val="24"/>
          <w:szCs w:val="24"/>
        </w:rPr>
        <w:t>High Court Act</w:t>
      </w:r>
      <w:r>
        <w:rPr>
          <w:rFonts w:ascii="Bookman Old Style" w:hAnsi="Bookman Old Style"/>
          <w:sz w:val="24"/>
          <w:szCs w:val="24"/>
        </w:rPr>
        <w:t xml:space="preserve"> which ma</w:t>
      </w:r>
      <w:r w:rsidR="00DC7BDE">
        <w:rPr>
          <w:rFonts w:ascii="Bookman Old Style" w:hAnsi="Bookman Old Style"/>
          <w:sz w:val="24"/>
          <w:szCs w:val="24"/>
        </w:rPr>
        <w:t>kes provision for the recovery</w:t>
      </w:r>
      <w:r>
        <w:rPr>
          <w:rFonts w:ascii="Bookman Old Style" w:hAnsi="Bookman Old Style"/>
          <w:sz w:val="24"/>
          <w:szCs w:val="24"/>
        </w:rPr>
        <w:t xml:space="preserve"> of moneys secured by a mortgage or foreclosure and sell of such secured property. The Order states as follows:</w:t>
      </w:r>
    </w:p>
    <w:p w:rsidR="00192194" w:rsidRPr="00537EAE" w:rsidRDefault="00192194" w:rsidP="00E8034B">
      <w:pPr>
        <w:spacing w:line="360" w:lineRule="auto"/>
        <w:ind w:left="720"/>
        <w:jc w:val="both"/>
        <w:rPr>
          <w:rFonts w:ascii="Bookman Old Style" w:hAnsi="Bookman Old Style"/>
          <w:b/>
          <w:i/>
          <w:sz w:val="24"/>
          <w:szCs w:val="24"/>
        </w:rPr>
      </w:pPr>
      <w:r w:rsidRPr="00537EAE">
        <w:rPr>
          <w:rFonts w:ascii="Bookman Old Style" w:hAnsi="Bookman Old Style"/>
          <w:b/>
          <w:i/>
          <w:sz w:val="24"/>
          <w:szCs w:val="24"/>
        </w:rPr>
        <w:t>“14. Any mortgage</w:t>
      </w:r>
      <w:r w:rsidR="00E044CA">
        <w:rPr>
          <w:rFonts w:ascii="Bookman Old Style" w:hAnsi="Bookman Old Style"/>
          <w:b/>
          <w:i/>
          <w:sz w:val="24"/>
          <w:szCs w:val="24"/>
        </w:rPr>
        <w:t>e</w:t>
      </w:r>
      <w:r w:rsidRPr="00537EAE">
        <w:rPr>
          <w:rFonts w:ascii="Bookman Old Style" w:hAnsi="Bookman Old Style"/>
          <w:b/>
          <w:i/>
          <w:sz w:val="24"/>
          <w:szCs w:val="24"/>
        </w:rPr>
        <w:t xml:space="preserve"> or mortgagor, whether legal or equitable, or any person entitled to or having property subject to a legal or equitable charge, or any person having the right to fore</w:t>
      </w:r>
      <w:r w:rsidR="009D2408">
        <w:rPr>
          <w:rFonts w:ascii="Bookman Old Style" w:hAnsi="Bookman Old Style"/>
          <w:b/>
          <w:i/>
          <w:sz w:val="24"/>
          <w:szCs w:val="24"/>
        </w:rPr>
        <w:t>closure or redeem any mortgage, whether legal or equitable</w:t>
      </w:r>
      <w:r w:rsidRPr="00537EAE">
        <w:rPr>
          <w:rFonts w:ascii="Bookman Old Style" w:hAnsi="Bookman Old Style"/>
          <w:b/>
          <w:i/>
          <w:sz w:val="24"/>
          <w:szCs w:val="24"/>
        </w:rPr>
        <w:t>, may take out as of course an originating summons, returnable in the chambers of a Judge for such relief of the nature or kind following as may by the summons be specified, and as the circumstances of the case may require; that is to say-</w:t>
      </w:r>
    </w:p>
    <w:p w:rsidR="00192194" w:rsidRPr="00537EAE" w:rsidRDefault="00192194" w:rsidP="00E8034B">
      <w:pPr>
        <w:spacing w:line="360" w:lineRule="auto"/>
        <w:ind w:firstLine="720"/>
        <w:jc w:val="both"/>
        <w:rPr>
          <w:rFonts w:ascii="Bookman Old Style" w:hAnsi="Bookman Old Style"/>
          <w:b/>
          <w:i/>
          <w:sz w:val="24"/>
          <w:szCs w:val="24"/>
        </w:rPr>
      </w:pPr>
      <w:r w:rsidRPr="00537EAE">
        <w:rPr>
          <w:rFonts w:ascii="Bookman Old Style" w:hAnsi="Bookman Old Style"/>
          <w:b/>
          <w:i/>
          <w:sz w:val="24"/>
          <w:szCs w:val="24"/>
        </w:rPr>
        <w:t>Payment of moneys secured by the mortgage or charge;</w:t>
      </w:r>
    </w:p>
    <w:p w:rsidR="00192194" w:rsidRPr="00537EAE" w:rsidRDefault="00192194" w:rsidP="00E8034B">
      <w:pPr>
        <w:spacing w:line="360" w:lineRule="auto"/>
        <w:ind w:firstLine="720"/>
        <w:jc w:val="both"/>
        <w:rPr>
          <w:rFonts w:ascii="Bookman Old Style" w:hAnsi="Bookman Old Style"/>
          <w:b/>
          <w:i/>
          <w:sz w:val="24"/>
          <w:szCs w:val="24"/>
        </w:rPr>
      </w:pPr>
      <w:r w:rsidRPr="00537EAE">
        <w:rPr>
          <w:rFonts w:ascii="Bookman Old Style" w:hAnsi="Bookman Old Style"/>
          <w:b/>
          <w:i/>
          <w:sz w:val="24"/>
          <w:szCs w:val="24"/>
        </w:rPr>
        <w:t>Sale;</w:t>
      </w:r>
    </w:p>
    <w:p w:rsidR="00192194" w:rsidRPr="00537EAE" w:rsidRDefault="00192194" w:rsidP="00E8034B">
      <w:pPr>
        <w:spacing w:line="360" w:lineRule="auto"/>
        <w:ind w:firstLine="720"/>
        <w:jc w:val="both"/>
        <w:rPr>
          <w:rFonts w:ascii="Bookman Old Style" w:hAnsi="Bookman Old Style"/>
          <w:b/>
          <w:i/>
          <w:sz w:val="24"/>
          <w:szCs w:val="24"/>
        </w:rPr>
      </w:pPr>
      <w:r w:rsidRPr="00537EAE">
        <w:rPr>
          <w:rFonts w:ascii="Bookman Old Style" w:hAnsi="Bookman Old Style"/>
          <w:b/>
          <w:i/>
          <w:sz w:val="24"/>
          <w:szCs w:val="24"/>
        </w:rPr>
        <w:t>Foreclosure;</w:t>
      </w:r>
    </w:p>
    <w:p w:rsidR="00192194" w:rsidRPr="00537EAE" w:rsidRDefault="00192194" w:rsidP="00E8034B">
      <w:pPr>
        <w:spacing w:line="360" w:lineRule="auto"/>
        <w:ind w:left="720"/>
        <w:jc w:val="both"/>
        <w:rPr>
          <w:rFonts w:ascii="Bookman Old Style" w:hAnsi="Bookman Old Style"/>
          <w:b/>
          <w:i/>
          <w:sz w:val="24"/>
          <w:szCs w:val="24"/>
        </w:rPr>
      </w:pPr>
      <w:r w:rsidRPr="00537EAE">
        <w:rPr>
          <w:rFonts w:ascii="Bookman Old Style" w:hAnsi="Bookman Old Style"/>
          <w:b/>
          <w:i/>
          <w:sz w:val="24"/>
          <w:szCs w:val="24"/>
        </w:rPr>
        <w:t>Delivery of possession (whether before or after foreclosure) to the mortgage</w:t>
      </w:r>
      <w:r w:rsidR="00E044CA">
        <w:rPr>
          <w:rFonts w:ascii="Bookman Old Style" w:hAnsi="Bookman Old Style"/>
          <w:b/>
          <w:i/>
          <w:sz w:val="24"/>
          <w:szCs w:val="24"/>
        </w:rPr>
        <w:t>e</w:t>
      </w:r>
      <w:r w:rsidRPr="00537EAE">
        <w:rPr>
          <w:rFonts w:ascii="Bookman Old Style" w:hAnsi="Bookman Old Style"/>
          <w:b/>
          <w:i/>
          <w:sz w:val="24"/>
          <w:szCs w:val="24"/>
        </w:rPr>
        <w:t xml:space="preserve"> or person entitled to the charge by the mortgagor or person having the property subject to the charge or by any other person in, or alleged to be in possession of the property;</w:t>
      </w:r>
    </w:p>
    <w:p w:rsidR="00192194" w:rsidRPr="00537EAE" w:rsidRDefault="00192194" w:rsidP="00E8034B">
      <w:pPr>
        <w:spacing w:line="360" w:lineRule="auto"/>
        <w:ind w:firstLine="720"/>
        <w:jc w:val="both"/>
        <w:rPr>
          <w:rFonts w:ascii="Bookman Old Style" w:hAnsi="Bookman Old Style"/>
          <w:b/>
          <w:i/>
          <w:sz w:val="24"/>
          <w:szCs w:val="24"/>
        </w:rPr>
      </w:pPr>
      <w:r w:rsidRPr="00537EAE">
        <w:rPr>
          <w:rFonts w:ascii="Bookman Old Style" w:hAnsi="Bookman Old Style"/>
          <w:b/>
          <w:i/>
          <w:sz w:val="24"/>
          <w:szCs w:val="24"/>
        </w:rPr>
        <w:t>Redemption;</w:t>
      </w:r>
    </w:p>
    <w:p w:rsidR="00192194" w:rsidRPr="00537EAE" w:rsidRDefault="00192194" w:rsidP="00E8034B">
      <w:pPr>
        <w:spacing w:line="360" w:lineRule="auto"/>
        <w:ind w:firstLine="720"/>
        <w:jc w:val="both"/>
        <w:rPr>
          <w:rFonts w:ascii="Bookman Old Style" w:hAnsi="Bookman Old Style"/>
          <w:b/>
          <w:i/>
          <w:sz w:val="24"/>
          <w:szCs w:val="24"/>
        </w:rPr>
      </w:pPr>
      <w:r w:rsidRPr="00537EAE">
        <w:rPr>
          <w:rFonts w:ascii="Bookman Old Style" w:hAnsi="Bookman Old Style"/>
          <w:b/>
          <w:i/>
          <w:sz w:val="24"/>
          <w:szCs w:val="24"/>
        </w:rPr>
        <w:t>Reconveyance;</w:t>
      </w:r>
    </w:p>
    <w:p w:rsidR="00FB05CF" w:rsidRDefault="00192194" w:rsidP="00E8034B">
      <w:pPr>
        <w:spacing w:line="360" w:lineRule="auto"/>
        <w:ind w:firstLine="720"/>
        <w:jc w:val="both"/>
        <w:rPr>
          <w:rFonts w:ascii="Bookman Old Style" w:hAnsi="Bookman Old Style"/>
          <w:b/>
          <w:i/>
          <w:sz w:val="24"/>
          <w:szCs w:val="24"/>
        </w:rPr>
      </w:pPr>
      <w:r w:rsidRPr="00537EAE">
        <w:rPr>
          <w:rFonts w:ascii="Bookman Old Style" w:hAnsi="Bookman Old Style"/>
          <w:b/>
          <w:i/>
          <w:sz w:val="24"/>
          <w:szCs w:val="24"/>
        </w:rPr>
        <w:t>Delivery</w:t>
      </w:r>
      <w:r w:rsidR="00537EAE">
        <w:rPr>
          <w:rFonts w:ascii="Bookman Old Style" w:hAnsi="Bookman Old Style"/>
          <w:b/>
          <w:i/>
          <w:sz w:val="24"/>
          <w:szCs w:val="24"/>
        </w:rPr>
        <w:t xml:space="preserve"> of possession by the mortgagee</w:t>
      </w:r>
      <w:r w:rsidR="00537EAE" w:rsidRPr="00537EAE">
        <w:rPr>
          <w:rFonts w:ascii="Bookman Old Style" w:hAnsi="Bookman Old Style"/>
          <w:b/>
          <w:i/>
          <w:sz w:val="24"/>
          <w:szCs w:val="24"/>
        </w:rPr>
        <w:t>.”</w:t>
      </w:r>
      <w:r w:rsidR="00FB05CF" w:rsidRPr="00537EAE">
        <w:rPr>
          <w:rFonts w:ascii="Bookman Old Style" w:hAnsi="Bookman Old Style"/>
          <w:b/>
          <w:i/>
          <w:sz w:val="24"/>
          <w:szCs w:val="24"/>
        </w:rPr>
        <w:tab/>
      </w:r>
    </w:p>
    <w:p w:rsidR="00E044CA" w:rsidRPr="00E044CA" w:rsidRDefault="00E044CA" w:rsidP="00E044CA">
      <w:pPr>
        <w:spacing w:line="360" w:lineRule="auto"/>
        <w:jc w:val="both"/>
        <w:rPr>
          <w:rFonts w:ascii="Bookman Old Style" w:hAnsi="Bookman Old Style"/>
          <w:sz w:val="24"/>
          <w:szCs w:val="24"/>
        </w:rPr>
      </w:pPr>
      <w:r>
        <w:rPr>
          <w:rFonts w:ascii="Bookman Old Style" w:hAnsi="Bookman Old Style"/>
          <w:sz w:val="24"/>
          <w:szCs w:val="24"/>
        </w:rPr>
        <w:lastRenderedPageBreak/>
        <w:t>These are some of the relief</w:t>
      </w:r>
      <w:r w:rsidR="000B1094">
        <w:rPr>
          <w:rFonts w:ascii="Bookman Old Style" w:hAnsi="Bookman Old Style"/>
          <w:sz w:val="24"/>
          <w:szCs w:val="24"/>
        </w:rPr>
        <w:t>s</w:t>
      </w:r>
      <w:r>
        <w:rPr>
          <w:rFonts w:ascii="Bookman Old Style" w:hAnsi="Bookman Old Style"/>
          <w:sz w:val="24"/>
          <w:szCs w:val="24"/>
        </w:rPr>
        <w:t xml:space="preserve"> sought by the Applicant in the originating summons, which are predicated on the mortgage deed.</w:t>
      </w:r>
    </w:p>
    <w:p w:rsidR="00537EAE" w:rsidRDefault="006B3D52" w:rsidP="00E8034B">
      <w:pPr>
        <w:spacing w:line="360" w:lineRule="auto"/>
        <w:jc w:val="both"/>
        <w:rPr>
          <w:rFonts w:ascii="Bookman Old Style" w:hAnsi="Bookman Old Style"/>
          <w:sz w:val="24"/>
          <w:szCs w:val="24"/>
        </w:rPr>
      </w:pPr>
      <w:r>
        <w:rPr>
          <w:rFonts w:ascii="Bookman Old Style" w:hAnsi="Bookman Old Style"/>
          <w:sz w:val="24"/>
          <w:szCs w:val="24"/>
        </w:rPr>
        <w:t>Further,</w:t>
      </w:r>
      <w:r w:rsidR="00537EAE">
        <w:rPr>
          <w:rFonts w:ascii="Bookman Old Style" w:hAnsi="Bookman Old Style"/>
          <w:sz w:val="24"/>
          <w:szCs w:val="24"/>
        </w:rPr>
        <w:t xml:space="preserve"> as I have stated and found in the earlier part of this ruling, there is no arbitration clause in the mortgage deed produced as exhibit BB3 to the</w:t>
      </w:r>
      <w:r w:rsidR="00135AFF">
        <w:rPr>
          <w:rFonts w:ascii="Bookman Old Style" w:hAnsi="Bookman Old Style"/>
          <w:sz w:val="24"/>
          <w:szCs w:val="24"/>
        </w:rPr>
        <w:t xml:space="preserve"> affidavit in support of</w:t>
      </w:r>
      <w:r w:rsidR="00537EAE">
        <w:rPr>
          <w:rFonts w:ascii="Bookman Old Style" w:hAnsi="Bookman Old Style"/>
          <w:sz w:val="24"/>
          <w:szCs w:val="24"/>
        </w:rPr>
        <w:t xml:space="preserve"> substantive matter. Therefore, prima facie, it appears that the parties are not compelled to refer their disp</w:t>
      </w:r>
      <w:r w:rsidR="00887029">
        <w:rPr>
          <w:rFonts w:ascii="Bookman Old Style" w:hAnsi="Bookman Old Style"/>
          <w:sz w:val="24"/>
          <w:szCs w:val="24"/>
        </w:rPr>
        <w:t>ute to arbitration</w:t>
      </w:r>
      <w:r w:rsidR="005C4A2E">
        <w:rPr>
          <w:rFonts w:ascii="Bookman Old Style" w:hAnsi="Bookman Old Style"/>
          <w:sz w:val="24"/>
          <w:szCs w:val="24"/>
        </w:rPr>
        <w:t xml:space="preserve">. </w:t>
      </w:r>
      <w:r w:rsidR="009D2408">
        <w:rPr>
          <w:rFonts w:ascii="Bookman Old Style" w:hAnsi="Bookman Old Style"/>
          <w:sz w:val="24"/>
          <w:szCs w:val="24"/>
        </w:rPr>
        <w:t>This</w:t>
      </w:r>
      <w:r w:rsidR="005C4A2E">
        <w:rPr>
          <w:rFonts w:ascii="Bookman Old Style" w:hAnsi="Bookman Old Style"/>
          <w:sz w:val="24"/>
          <w:szCs w:val="24"/>
        </w:rPr>
        <w:t xml:space="preserve"> however, is dependent upon the finding I will make in respect of the nature and extent of the arbitration clause as contained in the personal guarantee, which I now turn to determine.</w:t>
      </w:r>
    </w:p>
    <w:p w:rsidR="005C4A2E" w:rsidRDefault="00F77D18" w:rsidP="00E8034B">
      <w:pPr>
        <w:spacing w:line="360" w:lineRule="auto"/>
        <w:jc w:val="both"/>
        <w:rPr>
          <w:rFonts w:ascii="Bookman Old Style" w:hAnsi="Bookman Old Style"/>
          <w:sz w:val="24"/>
          <w:szCs w:val="24"/>
        </w:rPr>
      </w:pPr>
      <w:r>
        <w:rPr>
          <w:rFonts w:ascii="Bookman Old Style" w:hAnsi="Bookman Old Style"/>
          <w:sz w:val="24"/>
          <w:szCs w:val="24"/>
        </w:rPr>
        <w:t>Counsel for the Respond</w:t>
      </w:r>
      <w:r w:rsidR="005C4A2E">
        <w:rPr>
          <w:rFonts w:ascii="Bookman Old Style" w:hAnsi="Bookman Old Style"/>
          <w:sz w:val="24"/>
          <w:szCs w:val="24"/>
        </w:rPr>
        <w:t xml:space="preserve">ent has argued that the personal guarantee is part and </w:t>
      </w:r>
      <w:r w:rsidR="009D2408">
        <w:rPr>
          <w:rFonts w:ascii="Bookman Old Style" w:hAnsi="Bookman Old Style"/>
          <w:sz w:val="24"/>
          <w:szCs w:val="24"/>
        </w:rPr>
        <w:t>parcel of</w:t>
      </w:r>
      <w:r w:rsidR="005C4A2E">
        <w:rPr>
          <w:rFonts w:ascii="Bookman Old Style" w:hAnsi="Bookman Old Style"/>
          <w:sz w:val="24"/>
          <w:szCs w:val="24"/>
        </w:rPr>
        <w:t xml:space="preserve"> the mortgage deed and that it comes into effect </w:t>
      </w:r>
      <w:r w:rsidR="009D2408">
        <w:rPr>
          <w:rFonts w:ascii="Bookman Old Style" w:hAnsi="Bookman Old Style"/>
          <w:sz w:val="24"/>
          <w:szCs w:val="24"/>
        </w:rPr>
        <w:t>once</w:t>
      </w:r>
      <w:r w:rsidR="00135AFF">
        <w:rPr>
          <w:rFonts w:ascii="Bookman Old Style" w:hAnsi="Bookman Old Style"/>
          <w:sz w:val="24"/>
          <w:szCs w:val="24"/>
        </w:rPr>
        <w:t xml:space="preserve"> a</w:t>
      </w:r>
      <w:r w:rsidR="009D2408">
        <w:rPr>
          <w:rFonts w:ascii="Bookman Old Style" w:hAnsi="Bookman Old Style"/>
          <w:sz w:val="24"/>
          <w:szCs w:val="24"/>
        </w:rPr>
        <w:t xml:space="preserve"> borrower makes</w:t>
      </w:r>
      <w:r w:rsidR="005C4A2E">
        <w:rPr>
          <w:rFonts w:ascii="Bookman Old Style" w:hAnsi="Bookman Old Style"/>
          <w:sz w:val="24"/>
          <w:szCs w:val="24"/>
        </w:rPr>
        <w:t xml:space="preserve"> default as alleged in this matter.</w:t>
      </w:r>
    </w:p>
    <w:p w:rsidR="00135AFF" w:rsidRDefault="005C4A2E" w:rsidP="00E8034B">
      <w:pPr>
        <w:spacing w:line="360" w:lineRule="auto"/>
        <w:jc w:val="both"/>
        <w:rPr>
          <w:rFonts w:ascii="Bookman Old Style" w:hAnsi="Bookman Old Style"/>
          <w:sz w:val="24"/>
          <w:szCs w:val="24"/>
        </w:rPr>
      </w:pPr>
      <w:r>
        <w:rPr>
          <w:rFonts w:ascii="Bookman Old Style" w:hAnsi="Bookman Old Style"/>
          <w:sz w:val="24"/>
          <w:szCs w:val="24"/>
        </w:rPr>
        <w:t>A reading of the two documents, namely, the personal guarantee and mortgage deed reveals that the two documents do not indicate that they are dependent on each other or that they must be read as one. The facility letter does not also indicate that the documents must be taken as one</w:t>
      </w:r>
      <w:r w:rsidR="00135AFF">
        <w:rPr>
          <w:rFonts w:ascii="Bookman Old Style" w:hAnsi="Bookman Old Style"/>
          <w:sz w:val="24"/>
          <w:szCs w:val="24"/>
        </w:rPr>
        <w:t xml:space="preserve"> but merely indicates that the two shall be the two securities provided by the Respondent. This is evident from clause 8 of the facility letter which is exhibit “BB1” to the affidavit in support which states as follows:</w:t>
      </w:r>
    </w:p>
    <w:p w:rsidR="00135AFF" w:rsidRPr="00135AFF" w:rsidRDefault="00135AFF" w:rsidP="00E8034B">
      <w:pPr>
        <w:spacing w:line="360" w:lineRule="auto"/>
        <w:jc w:val="both"/>
        <w:rPr>
          <w:rFonts w:ascii="Bookman Old Style" w:hAnsi="Bookman Old Style"/>
          <w:i/>
          <w:sz w:val="24"/>
          <w:szCs w:val="24"/>
        </w:rPr>
      </w:pPr>
      <w:r>
        <w:rPr>
          <w:rFonts w:ascii="Bookman Old Style" w:hAnsi="Bookman Old Style"/>
          <w:sz w:val="24"/>
          <w:szCs w:val="24"/>
        </w:rPr>
        <w:tab/>
      </w:r>
      <w:r w:rsidRPr="00135AFF">
        <w:rPr>
          <w:rFonts w:ascii="Bookman Old Style" w:hAnsi="Bookman Old Style"/>
          <w:i/>
          <w:sz w:val="24"/>
          <w:szCs w:val="24"/>
        </w:rPr>
        <w:t>“8.</w:t>
      </w:r>
      <w:r w:rsidRPr="00135AFF">
        <w:rPr>
          <w:rFonts w:ascii="Bookman Old Style" w:hAnsi="Bookman Old Style"/>
          <w:i/>
          <w:sz w:val="24"/>
          <w:szCs w:val="24"/>
        </w:rPr>
        <w:tab/>
        <w:t xml:space="preserve"> SECURITY</w:t>
      </w:r>
    </w:p>
    <w:p w:rsidR="00135AFF" w:rsidRPr="00135AFF" w:rsidRDefault="00135AFF" w:rsidP="00135AFF">
      <w:pPr>
        <w:spacing w:line="360" w:lineRule="auto"/>
        <w:ind w:left="2160" w:hanging="720"/>
        <w:jc w:val="both"/>
        <w:rPr>
          <w:rFonts w:ascii="Bookman Old Style" w:hAnsi="Bookman Old Style"/>
          <w:i/>
          <w:sz w:val="24"/>
          <w:szCs w:val="24"/>
        </w:rPr>
      </w:pPr>
      <w:r w:rsidRPr="00135AFF">
        <w:rPr>
          <w:rFonts w:ascii="Bookman Old Style" w:hAnsi="Bookman Old Style"/>
          <w:i/>
          <w:sz w:val="24"/>
          <w:szCs w:val="24"/>
        </w:rPr>
        <w:t xml:space="preserve">8.1 </w:t>
      </w:r>
      <w:r w:rsidRPr="00135AFF">
        <w:rPr>
          <w:rFonts w:ascii="Bookman Old Style" w:hAnsi="Bookman Old Style"/>
          <w:i/>
          <w:sz w:val="24"/>
          <w:szCs w:val="24"/>
        </w:rPr>
        <w:tab/>
        <w:t>Continuous mortgage over stand No.6486, Magot</w:t>
      </w:r>
      <w:r w:rsidR="00CC6A70">
        <w:rPr>
          <w:rFonts w:ascii="Bookman Old Style" w:hAnsi="Bookman Old Style"/>
          <w:i/>
          <w:sz w:val="24"/>
          <w:szCs w:val="24"/>
        </w:rPr>
        <w:t>i</w:t>
      </w:r>
      <w:r w:rsidRPr="00135AFF">
        <w:rPr>
          <w:rFonts w:ascii="Bookman Old Style" w:hAnsi="Bookman Old Style"/>
          <w:i/>
          <w:sz w:val="24"/>
          <w:szCs w:val="24"/>
        </w:rPr>
        <w:t xml:space="preserve"> Road, Roma, Lusaka</w:t>
      </w:r>
    </w:p>
    <w:p w:rsidR="00135AFF" w:rsidRPr="00135AFF" w:rsidRDefault="00135AFF" w:rsidP="00135AFF">
      <w:pPr>
        <w:spacing w:line="360" w:lineRule="auto"/>
        <w:ind w:left="2160" w:hanging="720"/>
        <w:jc w:val="both"/>
        <w:rPr>
          <w:rFonts w:ascii="Bookman Old Style" w:hAnsi="Bookman Old Style"/>
          <w:i/>
          <w:sz w:val="24"/>
          <w:szCs w:val="24"/>
        </w:rPr>
      </w:pPr>
      <w:r w:rsidRPr="00135AFF">
        <w:rPr>
          <w:rFonts w:ascii="Bookman Old Style" w:hAnsi="Bookman Old Style"/>
          <w:i/>
          <w:sz w:val="24"/>
          <w:szCs w:val="24"/>
        </w:rPr>
        <w:t>8.2</w:t>
      </w:r>
      <w:r w:rsidRPr="00135AFF">
        <w:rPr>
          <w:rFonts w:ascii="Bookman Old Style" w:hAnsi="Bookman Old Style"/>
          <w:i/>
          <w:sz w:val="24"/>
          <w:szCs w:val="24"/>
        </w:rPr>
        <w:tab/>
        <w:t>Personal guarantee signed by Mr. Nonde Munkanta.”</w:t>
      </w:r>
    </w:p>
    <w:p w:rsidR="0020540A" w:rsidRDefault="005C4A2E" w:rsidP="00E8034B">
      <w:pPr>
        <w:spacing w:line="360" w:lineRule="auto"/>
        <w:jc w:val="both"/>
        <w:rPr>
          <w:rFonts w:ascii="Bookman Old Style" w:hAnsi="Bookman Old Style"/>
          <w:sz w:val="24"/>
          <w:szCs w:val="24"/>
        </w:rPr>
      </w:pPr>
      <w:r>
        <w:rPr>
          <w:rFonts w:ascii="Bookman Old Style" w:hAnsi="Bookman Old Style"/>
          <w:sz w:val="24"/>
          <w:szCs w:val="24"/>
        </w:rPr>
        <w:t>Further, whilst it is not disputed that the documents arise out of the same transaction they must be understood in the</w:t>
      </w:r>
      <w:r w:rsidR="00931E8F">
        <w:rPr>
          <w:rFonts w:ascii="Bookman Old Style" w:hAnsi="Bookman Old Style"/>
          <w:sz w:val="24"/>
          <w:szCs w:val="24"/>
        </w:rPr>
        <w:t>ir proper context which</w:t>
      </w:r>
      <w:r>
        <w:rPr>
          <w:rFonts w:ascii="Bookman Old Style" w:hAnsi="Bookman Old Style"/>
          <w:sz w:val="24"/>
          <w:szCs w:val="24"/>
        </w:rPr>
        <w:t xml:space="preserve"> is that, the mortgage deed is the primary security securing the funds and offers the Applicant</w:t>
      </w:r>
      <w:r w:rsidR="00931E8F">
        <w:rPr>
          <w:rFonts w:ascii="Bookman Old Style" w:hAnsi="Bookman Old Style"/>
          <w:sz w:val="24"/>
          <w:szCs w:val="24"/>
        </w:rPr>
        <w:t xml:space="preserve"> the</w:t>
      </w:r>
      <w:r>
        <w:rPr>
          <w:rFonts w:ascii="Bookman Old Style" w:hAnsi="Bookman Old Style"/>
          <w:sz w:val="24"/>
          <w:szCs w:val="24"/>
        </w:rPr>
        <w:t xml:space="preserve"> luxury of possession of the property charged. On the other hand </w:t>
      </w:r>
      <w:r>
        <w:rPr>
          <w:rFonts w:ascii="Bookman Old Style" w:hAnsi="Bookman Old Style"/>
          <w:sz w:val="24"/>
          <w:szCs w:val="24"/>
        </w:rPr>
        <w:lastRenderedPageBreak/>
        <w:t xml:space="preserve">the personal guarantee is </w:t>
      </w:r>
      <w:r w:rsidR="0020540A">
        <w:rPr>
          <w:rFonts w:ascii="Bookman Old Style" w:hAnsi="Bookman Old Style"/>
          <w:sz w:val="24"/>
          <w:szCs w:val="24"/>
        </w:rPr>
        <w:t>a secondary or additional security which permits the</w:t>
      </w:r>
      <w:r w:rsidR="00931E8F">
        <w:rPr>
          <w:rFonts w:ascii="Bookman Old Style" w:hAnsi="Bookman Old Style"/>
          <w:sz w:val="24"/>
          <w:szCs w:val="24"/>
        </w:rPr>
        <w:t xml:space="preserve"> Applicant to pursue the Respond</w:t>
      </w:r>
      <w:r w:rsidR="0020540A">
        <w:rPr>
          <w:rFonts w:ascii="Bookman Old Style" w:hAnsi="Bookman Old Style"/>
          <w:sz w:val="24"/>
          <w:szCs w:val="24"/>
        </w:rPr>
        <w:t>ent personally and beyond the security offered. This is clear from the wording of the personal guarantee which state in part that the Respondent binds himself to pay and satisfy and gives to the bank a guarantee and indemnity.</w:t>
      </w:r>
    </w:p>
    <w:p w:rsidR="0020540A" w:rsidRDefault="0020540A" w:rsidP="00E8034B">
      <w:pPr>
        <w:spacing w:line="360" w:lineRule="auto"/>
        <w:jc w:val="both"/>
        <w:rPr>
          <w:rFonts w:ascii="Bookman Old Style" w:hAnsi="Bookman Old Style"/>
          <w:sz w:val="24"/>
          <w:szCs w:val="24"/>
        </w:rPr>
      </w:pPr>
      <w:r>
        <w:rPr>
          <w:rFonts w:ascii="Bookman Old Style" w:hAnsi="Bookman Old Style"/>
          <w:sz w:val="24"/>
          <w:szCs w:val="24"/>
        </w:rPr>
        <w:t>Arising from what I have stated in the preceding paragraph it is therefore clear that the Applicant has an option to pursue two remedies, namely under the mortgage or the personal guarantee. The Applicant may also choose to invoke both remedies. If it invokes the remedy via the personal guarantee or both, then, the arbitration clause comes into play. If it invokes</w:t>
      </w:r>
      <w:r w:rsidR="00931E8F">
        <w:rPr>
          <w:rFonts w:ascii="Bookman Old Style" w:hAnsi="Bookman Old Style"/>
          <w:sz w:val="24"/>
          <w:szCs w:val="24"/>
        </w:rPr>
        <w:t xml:space="preserve"> the remedy via</w:t>
      </w:r>
      <w:r>
        <w:rPr>
          <w:rFonts w:ascii="Bookman Old Style" w:hAnsi="Bookman Old Style"/>
          <w:sz w:val="24"/>
          <w:szCs w:val="24"/>
        </w:rPr>
        <w:t xml:space="preserve"> the mortgage, the arbitration clause does not come into play.</w:t>
      </w:r>
    </w:p>
    <w:p w:rsidR="0020540A" w:rsidRDefault="0020540A" w:rsidP="00E8034B">
      <w:pPr>
        <w:spacing w:line="360" w:lineRule="auto"/>
        <w:jc w:val="both"/>
        <w:rPr>
          <w:rFonts w:ascii="Bookman Old Style" w:hAnsi="Bookman Old Style"/>
          <w:sz w:val="24"/>
          <w:szCs w:val="24"/>
        </w:rPr>
      </w:pPr>
      <w:r>
        <w:rPr>
          <w:rFonts w:ascii="Bookman Old Style" w:hAnsi="Bookman Old Style"/>
          <w:sz w:val="24"/>
          <w:szCs w:val="24"/>
        </w:rPr>
        <w:t>I have stated in the earlier part of this ruling that the endorsement in the originating summons clearly indicates that the Applicant has invoked its rights under the mortgage deed only</w:t>
      </w:r>
      <w:r w:rsidR="00D64AAE">
        <w:rPr>
          <w:rFonts w:ascii="Bookman Old Style" w:hAnsi="Bookman Old Style"/>
          <w:sz w:val="24"/>
          <w:szCs w:val="24"/>
        </w:rPr>
        <w:t>,</w:t>
      </w:r>
      <w:r>
        <w:rPr>
          <w:rFonts w:ascii="Bookman Old Style" w:hAnsi="Bookman Old Style"/>
          <w:sz w:val="24"/>
          <w:szCs w:val="24"/>
        </w:rPr>
        <w:t xml:space="preserve"> as such the arbitration clause is of no effect.</w:t>
      </w:r>
    </w:p>
    <w:p w:rsidR="00901E72" w:rsidRDefault="00511306" w:rsidP="00E8034B">
      <w:pPr>
        <w:spacing w:line="360" w:lineRule="auto"/>
        <w:jc w:val="both"/>
        <w:rPr>
          <w:rFonts w:ascii="Bookman Old Style" w:hAnsi="Bookman Old Style"/>
          <w:sz w:val="24"/>
          <w:szCs w:val="24"/>
        </w:rPr>
      </w:pPr>
      <w:r>
        <w:rPr>
          <w:rFonts w:ascii="Bookman Old Style" w:hAnsi="Bookman Old Style"/>
          <w:sz w:val="24"/>
          <w:szCs w:val="24"/>
        </w:rPr>
        <w:t>In arriving at the finding in the preceding paragraph, I have considered the argument made by counsel for the Respondent by which he likens on arbitration clause to a consent order. I have dismissed the argument because it is legally unsound for the following reasons. Firstly an arbitration clause is an agreement between parties to the exclusion of the Court, whilst a consent order is an agreement of the parties which is endorsed and sealed by the Court.</w:t>
      </w:r>
      <w:r w:rsidR="006C3B66">
        <w:rPr>
          <w:rFonts w:ascii="Bookman Old Style" w:hAnsi="Bookman Old Style"/>
          <w:sz w:val="24"/>
          <w:szCs w:val="24"/>
        </w:rPr>
        <w:t xml:space="preserve"> </w:t>
      </w:r>
      <w:r>
        <w:rPr>
          <w:rFonts w:ascii="Bookman Old Style" w:hAnsi="Bookman Old Style"/>
          <w:sz w:val="24"/>
          <w:szCs w:val="24"/>
        </w:rPr>
        <w:t>Secondly, an arbitration clause is an agreement that expresses</w:t>
      </w:r>
      <w:r w:rsidR="00901E72">
        <w:rPr>
          <w:rFonts w:ascii="Bookman Old Style" w:hAnsi="Bookman Old Style"/>
          <w:sz w:val="24"/>
          <w:szCs w:val="24"/>
        </w:rPr>
        <w:t xml:space="preserve"> the parties desire to resort to arbitration and not litigation in the event of a dispute arising.  On the other hand a consent order is an order that arises out of agreement by parties </w:t>
      </w:r>
      <w:r w:rsidR="00F77D18">
        <w:rPr>
          <w:rFonts w:ascii="Bookman Old Style" w:hAnsi="Bookman Old Style"/>
          <w:sz w:val="24"/>
          <w:szCs w:val="24"/>
        </w:rPr>
        <w:t>who have</w:t>
      </w:r>
      <w:r w:rsidR="00901E72">
        <w:rPr>
          <w:rFonts w:ascii="Bookman Old Style" w:hAnsi="Bookman Old Style"/>
          <w:sz w:val="24"/>
          <w:szCs w:val="24"/>
        </w:rPr>
        <w:t xml:space="preserve"> subjected their dispute to the realms of judicial or Court adjudication.</w:t>
      </w:r>
    </w:p>
    <w:p w:rsidR="00511306" w:rsidRDefault="00901E72" w:rsidP="00E8034B">
      <w:pPr>
        <w:spacing w:line="360" w:lineRule="auto"/>
        <w:jc w:val="both"/>
        <w:rPr>
          <w:rFonts w:ascii="Bookman Old Style" w:hAnsi="Bookman Old Style"/>
          <w:sz w:val="24"/>
          <w:szCs w:val="24"/>
        </w:rPr>
      </w:pPr>
      <w:r>
        <w:rPr>
          <w:rFonts w:ascii="Bookman Old Style" w:hAnsi="Bookman Old Style"/>
          <w:sz w:val="24"/>
          <w:szCs w:val="24"/>
        </w:rPr>
        <w:t xml:space="preserve">I have also considered the argument by the Respondent in respect of the need for the Court to acknowledge and enforce the parties’ right to contract. I entirely agree with the argument which agreement is evident in my findings in the earlier part of this ruling.  </w:t>
      </w:r>
      <w:r w:rsidR="00511306">
        <w:rPr>
          <w:rFonts w:ascii="Bookman Old Style" w:hAnsi="Bookman Old Style"/>
          <w:sz w:val="24"/>
          <w:szCs w:val="24"/>
        </w:rPr>
        <w:t xml:space="preserve"> </w:t>
      </w:r>
    </w:p>
    <w:p w:rsidR="00DC361A" w:rsidRDefault="0020540A" w:rsidP="00E8034B">
      <w:pPr>
        <w:spacing w:line="360" w:lineRule="auto"/>
        <w:jc w:val="both"/>
        <w:rPr>
          <w:rFonts w:ascii="Bookman Old Style" w:hAnsi="Bookman Old Style"/>
          <w:sz w:val="24"/>
          <w:szCs w:val="24"/>
        </w:rPr>
      </w:pPr>
      <w:r>
        <w:rPr>
          <w:rFonts w:ascii="Bookman Old Style" w:hAnsi="Bookman Old Style"/>
          <w:sz w:val="24"/>
          <w:szCs w:val="24"/>
        </w:rPr>
        <w:lastRenderedPageBreak/>
        <w:t>By way of conclusion and answer to the issue raised, this is not the dispute that the parties agreed to refer to arbitration. As such the application lacks merit and I accordingly dismis</w:t>
      </w:r>
      <w:r w:rsidR="009D2408">
        <w:rPr>
          <w:rFonts w:ascii="Bookman Old Style" w:hAnsi="Bookman Old Style"/>
          <w:sz w:val="24"/>
          <w:szCs w:val="24"/>
        </w:rPr>
        <w:t>s it with costs. I further direc</w:t>
      </w:r>
      <w:r>
        <w:rPr>
          <w:rFonts w:ascii="Bookman Old Style" w:hAnsi="Bookman Old Style"/>
          <w:sz w:val="24"/>
          <w:szCs w:val="24"/>
        </w:rPr>
        <w:t>t that the matter come up on the hearing</w:t>
      </w:r>
      <w:r w:rsidR="006C3B66">
        <w:rPr>
          <w:rFonts w:ascii="Bookman Old Style" w:hAnsi="Bookman Old Style"/>
          <w:sz w:val="24"/>
          <w:szCs w:val="24"/>
        </w:rPr>
        <w:t xml:space="preserve"> of the originating summons on 6</w:t>
      </w:r>
      <w:r w:rsidR="006C3B66" w:rsidRPr="006C3B66">
        <w:rPr>
          <w:rFonts w:ascii="Bookman Old Style" w:hAnsi="Bookman Old Style"/>
          <w:sz w:val="24"/>
          <w:szCs w:val="24"/>
          <w:vertAlign w:val="superscript"/>
        </w:rPr>
        <w:t>th</w:t>
      </w:r>
      <w:r w:rsidR="006C3B66">
        <w:rPr>
          <w:rFonts w:ascii="Bookman Old Style" w:hAnsi="Bookman Old Style"/>
          <w:sz w:val="24"/>
          <w:szCs w:val="24"/>
        </w:rPr>
        <w:t xml:space="preserve"> </w:t>
      </w:r>
      <w:r w:rsidR="009D2408">
        <w:rPr>
          <w:rFonts w:ascii="Bookman Old Style" w:hAnsi="Bookman Old Style"/>
          <w:sz w:val="24"/>
          <w:szCs w:val="24"/>
        </w:rPr>
        <w:t>d</w:t>
      </w:r>
      <w:r w:rsidR="006C3B66">
        <w:rPr>
          <w:rFonts w:ascii="Bookman Old Style" w:hAnsi="Bookman Old Style"/>
          <w:sz w:val="24"/>
          <w:szCs w:val="24"/>
        </w:rPr>
        <w:t xml:space="preserve">ay of December, </w:t>
      </w:r>
      <w:r>
        <w:rPr>
          <w:rFonts w:ascii="Bookman Old Style" w:hAnsi="Bookman Old Style"/>
          <w:sz w:val="24"/>
          <w:szCs w:val="24"/>
        </w:rPr>
        <w:t>2012</w:t>
      </w:r>
      <w:r w:rsidR="006C3B66">
        <w:rPr>
          <w:rFonts w:ascii="Bookman Old Style" w:hAnsi="Bookman Old Style"/>
          <w:sz w:val="24"/>
          <w:szCs w:val="24"/>
        </w:rPr>
        <w:t>, at 15:15 hours.</w:t>
      </w:r>
      <w:r>
        <w:rPr>
          <w:rFonts w:ascii="Bookman Old Style" w:hAnsi="Bookman Old Style"/>
          <w:sz w:val="24"/>
          <w:szCs w:val="24"/>
        </w:rPr>
        <w:t xml:space="preserve"> </w:t>
      </w:r>
    </w:p>
    <w:p w:rsidR="005C4A2E" w:rsidRDefault="0020540A" w:rsidP="00E8034B">
      <w:pPr>
        <w:spacing w:line="360" w:lineRule="auto"/>
        <w:jc w:val="both"/>
        <w:rPr>
          <w:rFonts w:ascii="Bookman Old Style" w:hAnsi="Bookman Old Style"/>
          <w:sz w:val="24"/>
          <w:szCs w:val="24"/>
        </w:rPr>
      </w:pPr>
      <w:r>
        <w:rPr>
          <w:rFonts w:ascii="Bookman Old Style" w:hAnsi="Bookman Old Style"/>
          <w:sz w:val="24"/>
          <w:szCs w:val="24"/>
        </w:rPr>
        <w:t xml:space="preserve"> </w:t>
      </w:r>
      <w:r w:rsidR="005C4A2E">
        <w:rPr>
          <w:rFonts w:ascii="Bookman Old Style" w:hAnsi="Bookman Old Style"/>
          <w:sz w:val="24"/>
          <w:szCs w:val="24"/>
        </w:rPr>
        <w:t xml:space="preserve"> </w:t>
      </w:r>
    </w:p>
    <w:p w:rsidR="00D64AAE" w:rsidRDefault="00D64AAE" w:rsidP="00E8034B">
      <w:pPr>
        <w:spacing w:line="360" w:lineRule="auto"/>
        <w:jc w:val="both"/>
        <w:rPr>
          <w:rFonts w:ascii="Bookman Old Style" w:hAnsi="Bookman Old Style"/>
          <w:sz w:val="24"/>
          <w:szCs w:val="24"/>
        </w:rPr>
      </w:pPr>
      <w:r>
        <w:rPr>
          <w:rFonts w:ascii="Bookman Old Style" w:hAnsi="Bookman Old Style"/>
          <w:sz w:val="24"/>
          <w:szCs w:val="24"/>
        </w:rPr>
        <w:t>Delivered in chambers this 2</w:t>
      </w:r>
      <w:r w:rsidR="00DC6E1C">
        <w:rPr>
          <w:rFonts w:ascii="Bookman Old Style" w:hAnsi="Bookman Old Style"/>
          <w:sz w:val="24"/>
          <w:szCs w:val="24"/>
        </w:rPr>
        <w:t>8</w:t>
      </w:r>
      <w:r w:rsidRPr="00D64AAE">
        <w:rPr>
          <w:rFonts w:ascii="Bookman Old Style" w:hAnsi="Bookman Old Style"/>
          <w:sz w:val="24"/>
          <w:szCs w:val="24"/>
          <w:vertAlign w:val="superscript"/>
        </w:rPr>
        <w:t>th</w:t>
      </w:r>
      <w:r>
        <w:rPr>
          <w:rFonts w:ascii="Bookman Old Style" w:hAnsi="Bookman Old Style"/>
          <w:sz w:val="24"/>
          <w:szCs w:val="24"/>
        </w:rPr>
        <w:t xml:space="preserve"> day of November, 2012.</w:t>
      </w:r>
    </w:p>
    <w:p w:rsidR="00D64AAE" w:rsidRDefault="00D64AAE" w:rsidP="00E8034B">
      <w:pPr>
        <w:spacing w:line="360" w:lineRule="auto"/>
        <w:jc w:val="both"/>
        <w:rPr>
          <w:rFonts w:ascii="Bookman Old Style" w:hAnsi="Bookman Old Style"/>
          <w:sz w:val="24"/>
          <w:szCs w:val="24"/>
        </w:rPr>
      </w:pPr>
    </w:p>
    <w:p w:rsidR="00D64AAE" w:rsidRPr="00D64AAE" w:rsidRDefault="00D64AAE" w:rsidP="00D64AAE">
      <w:pPr>
        <w:spacing w:line="360" w:lineRule="auto"/>
        <w:jc w:val="center"/>
        <w:rPr>
          <w:rFonts w:ascii="Bookman Old Style" w:hAnsi="Bookman Old Style"/>
          <w:b/>
          <w:sz w:val="24"/>
          <w:szCs w:val="24"/>
        </w:rPr>
      </w:pPr>
      <w:r w:rsidRPr="00D64AAE">
        <w:rPr>
          <w:rFonts w:ascii="Bookman Old Style" w:hAnsi="Bookman Old Style"/>
          <w:b/>
          <w:sz w:val="24"/>
          <w:szCs w:val="24"/>
        </w:rPr>
        <w:t>NIGEL K. MUTUNA</w:t>
      </w:r>
    </w:p>
    <w:p w:rsidR="00D64AAE" w:rsidRPr="00D64AAE" w:rsidRDefault="00D64AAE" w:rsidP="00D64AAE">
      <w:pPr>
        <w:spacing w:line="360" w:lineRule="auto"/>
        <w:jc w:val="center"/>
        <w:rPr>
          <w:rFonts w:ascii="Bookman Old Style" w:hAnsi="Bookman Old Style"/>
          <w:b/>
          <w:sz w:val="24"/>
          <w:szCs w:val="24"/>
        </w:rPr>
      </w:pPr>
      <w:r w:rsidRPr="00D64AAE">
        <w:rPr>
          <w:rFonts w:ascii="Bookman Old Style" w:hAnsi="Bookman Old Style"/>
          <w:b/>
          <w:sz w:val="24"/>
          <w:szCs w:val="24"/>
        </w:rPr>
        <w:t>HIGH COURT JUDGE</w:t>
      </w:r>
    </w:p>
    <w:sectPr w:rsidR="00D64AAE" w:rsidRPr="00D64AAE" w:rsidSect="00B41DF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1B1" w:rsidRDefault="00AF51B1" w:rsidP="00100DC6">
      <w:pPr>
        <w:spacing w:after="0" w:line="240" w:lineRule="auto"/>
      </w:pPr>
      <w:r>
        <w:separator/>
      </w:r>
    </w:p>
  </w:endnote>
  <w:endnote w:type="continuationSeparator" w:id="1">
    <w:p w:rsidR="00AF51B1" w:rsidRDefault="00AF51B1" w:rsidP="0010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1B1" w:rsidRDefault="00AF51B1" w:rsidP="00100DC6">
      <w:pPr>
        <w:spacing w:after="0" w:line="240" w:lineRule="auto"/>
      </w:pPr>
      <w:r>
        <w:separator/>
      </w:r>
    </w:p>
  </w:footnote>
  <w:footnote w:type="continuationSeparator" w:id="1">
    <w:p w:rsidR="00AF51B1" w:rsidRDefault="00AF51B1" w:rsidP="00100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669"/>
      <w:docPartObj>
        <w:docPartGallery w:val="Page Numbers (Top of Page)"/>
        <w:docPartUnique/>
      </w:docPartObj>
    </w:sdtPr>
    <w:sdtContent>
      <w:p w:rsidR="00511306" w:rsidRDefault="00511306">
        <w:pPr>
          <w:pStyle w:val="Header"/>
          <w:jc w:val="center"/>
        </w:pPr>
        <w:r>
          <w:t>R</w:t>
        </w:r>
        <w:fldSimple w:instr=" PAGE   \* MERGEFORMAT ">
          <w:r w:rsidR="006C3B66">
            <w:rPr>
              <w:noProof/>
            </w:rPr>
            <w:t>10</w:t>
          </w:r>
        </w:fldSimple>
      </w:p>
    </w:sdtContent>
  </w:sdt>
  <w:p w:rsidR="00511306" w:rsidRDefault="00511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2F84"/>
    <w:multiLevelType w:val="hybridMultilevel"/>
    <w:tmpl w:val="0630D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64153"/>
    <w:multiLevelType w:val="hybridMultilevel"/>
    <w:tmpl w:val="E1EEE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C5879"/>
    <w:multiLevelType w:val="hybridMultilevel"/>
    <w:tmpl w:val="D3249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1D6C"/>
    <w:rsid w:val="000B1094"/>
    <w:rsid w:val="000C486E"/>
    <w:rsid w:val="000E52AA"/>
    <w:rsid w:val="000E77DE"/>
    <w:rsid w:val="00100DC6"/>
    <w:rsid w:val="00135AFF"/>
    <w:rsid w:val="00192194"/>
    <w:rsid w:val="0020540A"/>
    <w:rsid w:val="00293A17"/>
    <w:rsid w:val="00324660"/>
    <w:rsid w:val="00331D6C"/>
    <w:rsid w:val="00376514"/>
    <w:rsid w:val="003C7EC3"/>
    <w:rsid w:val="003D3A21"/>
    <w:rsid w:val="003E6196"/>
    <w:rsid w:val="004240AD"/>
    <w:rsid w:val="004621B0"/>
    <w:rsid w:val="00476473"/>
    <w:rsid w:val="004851AA"/>
    <w:rsid w:val="00511306"/>
    <w:rsid w:val="00537EAE"/>
    <w:rsid w:val="00556992"/>
    <w:rsid w:val="005C4A2E"/>
    <w:rsid w:val="00611958"/>
    <w:rsid w:val="00651097"/>
    <w:rsid w:val="0066421B"/>
    <w:rsid w:val="0067519A"/>
    <w:rsid w:val="006B3D52"/>
    <w:rsid w:val="006C3B66"/>
    <w:rsid w:val="0077353C"/>
    <w:rsid w:val="007C13D1"/>
    <w:rsid w:val="007D6B2F"/>
    <w:rsid w:val="007D7D63"/>
    <w:rsid w:val="00825521"/>
    <w:rsid w:val="008455E7"/>
    <w:rsid w:val="00887029"/>
    <w:rsid w:val="00900E71"/>
    <w:rsid w:val="00901E72"/>
    <w:rsid w:val="0091526B"/>
    <w:rsid w:val="00931E8F"/>
    <w:rsid w:val="009329A3"/>
    <w:rsid w:val="00946304"/>
    <w:rsid w:val="0098424E"/>
    <w:rsid w:val="009D2408"/>
    <w:rsid w:val="009E7B82"/>
    <w:rsid w:val="00AF51B1"/>
    <w:rsid w:val="00B01C2E"/>
    <w:rsid w:val="00B354D6"/>
    <w:rsid w:val="00B41DF6"/>
    <w:rsid w:val="00B45F95"/>
    <w:rsid w:val="00B74C5C"/>
    <w:rsid w:val="00C07D9A"/>
    <w:rsid w:val="00CB22ED"/>
    <w:rsid w:val="00CC6A70"/>
    <w:rsid w:val="00CC79C9"/>
    <w:rsid w:val="00CE1DB4"/>
    <w:rsid w:val="00D64AAE"/>
    <w:rsid w:val="00DC361A"/>
    <w:rsid w:val="00DC6E1C"/>
    <w:rsid w:val="00DC7BDE"/>
    <w:rsid w:val="00DF0A89"/>
    <w:rsid w:val="00E044CA"/>
    <w:rsid w:val="00E15EF9"/>
    <w:rsid w:val="00E25DCC"/>
    <w:rsid w:val="00E8034B"/>
    <w:rsid w:val="00E92E2C"/>
    <w:rsid w:val="00E9590A"/>
    <w:rsid w:val="00EA5B18"/>
    <w:rsid w:val="00F263B7"/>
    <w:rsid w:val="00F303DE"/>
    <w:rsid w:val="00F77D18"/>
    <w:rsid w:val="00F841F9"/>
    <w:rsid w:val="00F85B82"/>
    <w:rsid w:val="00FA0B50"/>
    <w:rsid w:val="00FB05CF"/>
    <w:rsid w:val="00FC767E"/>
    <w:rsid w:val="00FE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73"/>
    <w:pPr>
      <w:ind w:left="720"/>
      <w:contextualSpacing/>
    </w:pPr>
  </w:style>
  <w:style w:type="paragraph" w:styleId="Header">
    <w:name w:val="header"/>
    <w:basedOn w:val="Normal"/>
    <w:link w:val="HeaderChar"/>
    <w:uiPriority w:val="99"/>
    <w:unhideWhenUsed/>
    <w:rsid w:val="0010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C6"/>
  </w:style>
  <w:style w:type="paragraph" w:styleId="Footer">
    <w:name w:val="footer"/>
    <w:basedOn w:val="Normal"/>
    <w:link w:val="FooterChar"/>
    <w:uiPriority w:val="99"/>
    <w:semiHidden/>
    <w:unhideWhenUsed/>
    <w:rsid w:val="00100D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D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0EBA-F754-4220-9FB0-E9FE797E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56</cp:revision>
  <cp:lastPrinted>2012-11-29T07:43:00Z</cp:lastPrinted>
  <dcterms:created xsi:type="dcterms:W3CDTF">2012-11-23T04:29:00Z</dcterms:created>
  <dcterms:modified xsi:type="dcterms:W3CDTF">2012-11-29T07:49:00Z</dcterms:modified>
</cp:coreProperties>
</file>