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BD7" w:rsidRDefault="00CF4BD7" w:rsidP="00CF4BD7">
      <w:pPr>
        <w:pStyle w:val="NoSpacing"/>
        <w:jc w:val="right"/>
        <w:rPr>
          <w:rFonts w:ascii="Bookman Old Style" w:hAnsi="Bookman Old Style"/>
          <w:sz w:val="28"/>
          <w:szCs w:val="28"/>
        </w:rPr>
      </w:pPr>
      <w:r>
        <w:rPr>
          <w:rFonts w:ascii="Bookman Old Style" w:hAnsi="Bookman Old Style"/>
          <w:sz w:val="28"/>
          <w:szCs w:val="28"/>
        </w:rPr>
        <w:t>Supreme Court Judgment No. 1 of 2013</w:t>
      </w:r>
    </w:p>
    <w:p w:rsidR="00CF4BD7" w:rsidRDefault="00CF4BD7" w:rsidP="00CF4BD7">
      <w:pPr>
        <w:pStyle w:val="NoSpacing"/>
        <w:jc w:val="right"/>
        <w:rPr>
          <w:rFonts w:ascii="Bookman Old Style" w:hAnsi="Bookman Old Style"/>
          <w:sz w:val="28"/>
          <w:szCs w:val="28"/>
        </w:rPr>
      </w:pPr>
      <w:r>
        <w:rPr>
          <w:rFonts w:ascii="Bookman Old Style" w:hAnsi="Bookman Old Style"/>
          <w:sz w:val="28"/>
          <w:szCs w:val="28"/>
        </w:rPr>
        <w:tab/>
        <w:t>1</w:t>
      </w:r>
    </w:p>
    <w:p w:rsidR="009F3F28" w:rsidRDefault="009F3F28" w:rsidP="009F3F28">
      <w:pPr>
        <w:pStyle w:val="NoSpacing"/>
        <w:rPr>
          <w:rFonts w:ascii="Bookman Old Style" w:hAnsi="Bookman Old Style"/>
        </w:rPr>
      </w:pPr>
      <w:r w:rsidRPr="009F3F28">
        <w:rPr>
          <w:rFonts w:ascii="Bookman Old Style" w:hAnsi="Bookman Old Style"/>
          <w:sz w:val="28"/>
          <w:szCs w:val="28"/>
        </w:rPr>
        <w:t>IN THE SUPREME CO</w:t>
      </w:r>
      <w:r>
        <w:rPr>
          <w:rFonts w:ascii="Bookman Old Style" w:hAnsi="Bookman Old Style"/>
          <w:sz w:val="28"/>
          <w:szCs w:val="28"/>
        </w:rPr>
        <w:t xml:space="preserve">URT OF ZAMBIA          </w:t>
      </w:r>
      <w:r w:rsidR="00D60A11">
        <w:rPr>
          <w:rFonts w:ascii="Bookman Old Style" w:hAnsi="Bookman Old Style"/>
          <w:sz w:val="28"/>
          <w:szCs w:val="28"/>
        </w:rPr>
        <w:t xml:space="preserve">APPEAL NO. 4 of </w:t>
      </w:r>
      <w:r w:rsidRPr="009F3F28">
        <w:rPr>
          <w:rFonts w:ascii="Bookman Old Style" w:hAnsi="Bookman Old Style"/>
          <w:sz w:val="28"/>
          <w:szCs w:val="28"/>
        </w:rPr>
        <w:t>2007</w:t>
      </w:r>
      <w:r w:rsidRPr="009F3F28">
        <w:rPr>
          <w:rFonts w:ascii="Bookman Old Style" w:hAnsi="Bookman Old Style"/>
        </w:rPr>
        <w:t xml:space="preserve">  </w:t>
      </w:r>
    </w:p>
    <w:p w:rsidR="00203C84" w:rsidRDefault="00203C84" w:rsidP="009F3F28">
      <w:pPr>
        <w:pStyle w:val="NoSpacing"/>
        <w:rPr>
          <w:rFonts w:ascii="Bookman Old Style" w:hAnsi="Bookman Old Style"/>
          <w:sz w:val="28"/>
          <w:szCs w:val="28"/>
        </w:rPr>
      </w:pPr>
      <w:r>
        <w:rPr>
          <w:rFonts w:ascii="Bookman Old Style" w:hAnsi="Bookman Old Style"/>
          <w:sz w:val="28"/>
          <w:szCs w:val="28"/>
        </w:rPr>
        <w:t>HOLDEN AT LUSAKA</w:t>
      </w:r>
    </w:p>
    <w:p w:rsidR="00203C84" w:rsidRDefault="00203C84" w:rsidP="009F3F28">
      <w:pPr>
        <w:pStyle w:val="NoSpacing"/>
        <w:rPr>
          <w:rFonts w:ascii="Bookman Old Style" w:hAnsi="Bookman Old Style"/>
        </w:rPr>
      </w:pPr>
      <w:r>
        <w:rPr>
          <w:rFonts w:ascii="Bookman Old Style" w:hAnsi="Bookman Old Style"/>
          <w:sz w:val="28"/>
          <w:szCs w:val="28"/>
        </w:rPr>
        <w:t>(CIVIL JURISDICTION)</w:t>
      </w:r>
      <w:r w:rsidR="009F3F28" w:rsidRPr="009F3F28">
        <w:rPr>
          <w:rFonts w:ascii="Bookman Old Style" w:hAnsi="Bookman Old Style"/>
        </w:rPr>
        <w:t xml:space="preserve">   </w:t>
      </w:r>
    </w:p>
    <w:p w:rsidR="00203C84" w:rsidRDefault="00203C84" w:rsidP="009F3F28">
      <w:pPr>
        <w:pStyle w:val="NoSpacing"/>
        <w:rPr>
          <w:rFonts w:ascii="Bookman Old Style" w:hAnsi="Bookman Old Style"/>
        </w:rPr>
      </w:pPr>
    </w:p>
    <w:p w:rsidR="00203C84" w:rsidRDefault="00203C84" w:rsidP="009F3F28">
      <w:pPr>
        <w:pStyle w:val="NoSpacing"/>
        <w:rPr>
          <w:rFonts w:ascii="Bookman Old Style" w:hAnsi="Bookman Old Style"/>
        </w:rPr>
      </w:pPr>
    </w:p>
    <w:p w:rsidR="00203C84" w:rsidRDefault="00203C84" w:rsidP="009F3F28">
      <w:pPr>
        <w:pStyle w:val="NoSpacing"/>
        <w:rPr>
          <w:rFonts w:ascii="Bookman Old Style" w:hAnsi="Bookman Old Style"/>
          <w:sz w:val="28"/>
          <w:szCs w:val="28"/>
        </w:rPr>
      </w:pPr>
      <w:r>
        <w:rPr>
          <w:rFonts w:ascii="Bookman Old Style" w:hAnsi="Bookman Old Style"/>
          <w:sz w:val="28"/>
          <w:szCs w:val="28"/>
        </w:rPr>
        <w:t>B E T W E E N:</w:t>
      </w:r>
    </w:p>
    <w:p w:rsidR="00203C84" w:rsidRDefault="00203C84" w:rsidP="009F3F28">
      <w:pPr>
        <w:pStyle w:val="NoSpacing"/>
        <w:rPr>
          <w:rFonts w:ascii="Bookman Old Style" w:hAnsi="Bookman Old Style"/>
          <w:sz w:val="28"/>
          <w:szCs w:val="28"/>
        </w:rPr>
      </w:pPr>
    </w:p>
    <w:p w:rsidR="00D60A11" w:rsidRDefault="00203C84" w:rsidP="00203C84">
      <w:pPr>
        <w:pStyle w:val="NoSpacing"/>
        <w:jc w:val="both"/>
        <w:rPr>
          <w:rFonts w:ascii="Bookman Old Style" w:hAnsi="Bookman Old Style"/>
          <w:sz w:val="28"/>
          <w:szCs w:val="28"/>
        </w:rPr>
      </w:pPr>
      <w:r>
        <w:rPr>
          <w:rFonts w:ascii="Bookman Old Style" w:hAnsi="Bookman Old Style"/>
          <w:sz w:val="28"/>
          <w:szCs w:val="28"/>
        </w:rPr>
        <w:t>LIVINGSTONE MOTOR ASSEMBLERS</w:t>
      </w:r>
      <w:r w:rsidR="00D60A11">
        <w:rPr>
          <w:rFonts w:ascii="Bookman Old Style" w:hAnsi="Bookman Old Style"/>
          <w:sz w:val="28"/>
          <w:szCs w:val="28"/>
        </w:rPr>
        <w:tab/>
      </w:r>
      <w:r w:rsidR="00D60A11">
        <w:rPr>
          <w:rFonts w:ascii="Bookman Old Style" w:hAnsi="Bookman Old Style"/>
          <w:sz w:val="28"/>
          <w:szCs w:val="28"/>
        </w:rPr>
        <w:tab/>
      </w:r>
      <w:r w:rsidR="00D60A11">
        <w:rPr>
          <w:rFonts w:ascii="Bookman Old Style" w:hAnsi="Bookman Old Style"/>
          <w:sz w:val="28"/>
          <w:szCs w:val="28"/>
        </w:rPr>
        <w:tab/>
        <w:t>APPELLANT</w:t>
      </w:r>
    </w:p>
    <w:p w:rsidR="00203C84" w:rsidRDefault="00D60A11" w:rsidP="00203C84">
      <w:pPr>
        <w:pStyle w:val="NoSpacing"/>
        <w:jc w:val="both"/>
        <w:rPr>
          <w:rFonts w:ascii="Bookman Old Style" w:hAnsi="Bookman Old Style"/>
          <w:sz w:val="28"/>
          <w:szCs w:val="28"/>
        </w:rPr>
      </w:pPr>
      <w:r>
        <w:rPr>
          <w:rFonts w:ascii="Bookman Old Style" w:hAnsi="Bookman Old Style"/>
          <w:sz w:val="28"/>
          <w:szCs w:val="28"/>
        </w:rPr>
        <w:t>LIMITED (IN RECEIVERSHIP)</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00203C84" w:rsidRPr="009F3F28">
        <w:rPr>
          <w:rFonts w:ascii="Bookman Old Style" w:hAnsi="Bookman Old Style"/>
        </w:rPr>
        <w:t xml:space="preserve">        </w:t>
      </w:r>
      <w:r w:rsidR="00203C84">
        <w:rPr>
          <w:rFonts w:ascii="Bookman Old Style" w:hAnsi="Bookman Old Style"/>
        </w:rPr>
        <w:tab/>
      </w:r>
    </w:p>
    <w:p w:rsidR="00203C84" w:rsidRDefault="00203C84" w:rsidP="00203C84">
      <w:pPr>
        <w:pStyle w:val="NoSpacing"/>
        <w:jc w:val="both"/>
        <w:rPr>
          <w:rFonts w:ascii="Bookman Old Style" w:hAnsi="Bookman Old Style"/>
          <w:sz w:val="28"/>
          <w:szCs w:val="28"/>
        </w:rPr>
      </w:pPr>
    </w:p>
    <w:p w:rsidR="00203C84" w:rsidRDefault="00203C84" w:rsidP="00203C84">
      <w:pPr>
        <w:pStyle w:val="NoSpacing"/>
        <w:jc w:val="both"/>
        <w:rPr>
          <w:rFonts w:ascii="Bookman Old Style" w:hAnsi="Bookman Old Style"/>
          <w:sz w:val="28"/>
          <w:szCs w:val="28"/>
        </w:rPr>
      </w:pPr>
      <w:r>
        <w:rPr>
          <w:rFonts w:ascii="Bookman Old Style" w:hAnsi="Bookman Old Style"/>
          <w:sz w:val="28"/>
          <w:szCs w:val="28"/>
        </w:rPr>
        <w:t>AND</w:t>
      </w:r>
    </w:p>
    <w:p w:rsidR="00203C84" w:rsidRDefault="00203C84" w:rsidP="00203C84">
      <w:pPr>
        <w:pStyle w:val="NoSpacing"/>
        <w:jc w:val="both"/>
        <w:rPr>
          <w:rFonts w:ascii="Bookman Old Style" w:hAnsi="Bookman Old Style"/>
          <w:sz w:val="28"/>
          <w:szCs w:val="28"/>
        </w:rPr>
      </w:pPr>
    </w:p>
    <w:p w:rsidR="00203C84" w:rsidRDefault="00203C84" w:rsidP="00203C84">
      <w:pPr>
        <w:pStyle w:val="NoSpacing"/>
        <w:jc w:val="both"/>
        <w:rPr>
          <w:rFonts w:ascii="Bookman Old Style" w:hAnsi="Bookman Old Style"/>
          <w:sz w:val="28"/>
          <w:szCs w:val="28"/>
        </w:rPr>
      </w:pPr>
      <w:r>
        <w:rPr>
          <w:rFonts w:ascii="Bookman Old Style" w:hAnsi="Bookman Old Style"/>
          <w:sz w:val="28"/>
          <w:szCs w:val="28"/>
        </w:rPr>
        <w:t>INDECO ESTATES DEVELOPMENT COMPANY</w:t>
      </w:r>
    </w:p>
    <w:p w:rsidR="00203C84" w:rsidRDefault="00203C84" w:rsidP="00203C84">
      <w:pPr>
        <w:pStyle w:val="NoSpacing"/>
        <w:jc w:val="both"/>
        <w:rPr>
          <w:rFonts w:ascii="Bookman Old Style" w:hAnsi="Bookman Old Style"/>
          <w:sz w:val="28"/>
          <w:szCs w:val="28"/>
        </w:rPr>
      </w:pPr>
      <w:r>
        <w:rPr>
          <w:rFonts w:ascii="Bookman Old Style" w:hAnsi="Bookman Old Style"/>
          <w:sz w:val="28"/>
          <w:szCs w:val="28"/>
        </w:rPr>
        <w:t>LIMITED</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1</w:t>
      </w:r>
      <w:r w:rsidRPr="00203C84">
        <w:rPr>
          <w:rFonts w:ascii="Bookman Old Style" w:hAnsi="Bookman Old Style"/>
          <w:sz w:val="28"/>
          <w:szCs w:val="28"/>
          <w:vertAlign w:val="superscript"/>
        </w:rPr>
        <w:t>ST</w:t>
      </w:r>
      <w:r>
        <w:rPr>
          <w:rFonts w:ascii="Bookman Old Style" w:hAnsi="Bookman Old Style"/>
          <w:sz w:val="28"/>
          <w:szCs w:val="28"/>
        </w:rPr>
        <w:t xml:space="preserve"> RESPONDENT</w:t>
      </w:r>
    </w:p>
    <w:p w:rsidR="00203C84" w:rsidRDefault="00203C84" w:rsidP="00203C84">
      <w:pPr>
        <w:pStyle w:val="NoSpacing"/>
        <w:jc w:val="both"/>
        <w:rPr>
          <w:rFonts w:ascii="Bookman Old Style" w:hAnsi="Bookman Old Style"/>
          <w:sz w:val="28"/>
          <w:szCs w:val="28"/>
        </w:rPr>
      </w:pPr>
    </w:p>
    <w:p w:rsidR="00203C84" w:rsidRDefault="00203C84" w:rsidP="00203C84">
      <w:pPr>
        <w:pStyle w:val="NoSpacing"/>
        <w:jc w:val="both"/>
        <w:rPr>
          <w:rFonts w:ascii="Bookman Old Style" w:hAnsi="Bookman Old Style"/>
          <w:sz w:val="28"/>
          <w:szCs w:val="28"/>
        </w:rPr>
      </w:pPr>
      <w:r>
        <w:rPr>
          <w:rFonts w:ascii="Bookman Old Style" w:hAnsi="Bookman Old Style"/>
          <w:sz w:val="28"/>
          <w:szCs w:val="28"/>
        </w:rPr>
        <w:t>WEBSTER MWANSA</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2</w:t>
      </w:r>
      <w:r w:rsidRPr="00203C84">
        <w:rPr>
          <w:rFonts w:ascii="Bookman Old Style" w:hAnsi="Bookman Old Style"/>
          <w:sz w:val="28"/>
          <w:szCs w:val="28"/>
          <w:vertAlign w:val="superscript"/>
        </w:rPr>
        <w:t>ND</w:t>
      </w:r>
      <w:r>
        <w:rPr>
          <w:rFonts w:ascii="Bookman Old Style" w:hAnsi="Bookman Old Style"/>
          <w:sz w:val="28"/>
          <w:szCs w:val="28"/>
        </w:rPr>
        <w:t xml:space="preserve"> RESPONDENT</w:t>
      </w:r>
    </w:p>
    <w:p w:rsidR="00203C84" w:rsidRDefault="009460AA" w:rsidP="00203C84">
      <w:pPr>
        <w:pStyle w:val="NoSpacing"/>
        <w:jc w:val="both"/>
        <w:rPr>
          <w:rFonts w:ascii="Bookman Old Style" w:hAnsi="Bookman Old Style"/>
          <w:sz w:val="28"/>
          <w:szCs w:val="28"/>
        </w:rPr>
      </w:pPr>
      <w:r>
        <w:rPr>
          <w:rFonts w:ascii="Bookman Old Style" w:hAnsi="Bookman Old Style"/>
          <w:sz w:val="28"/>
          <w:szCs w:val="28"/>
        </w:rPr>
        <w:t>ASSOCIATED STORES LIMITED</w:t>
      </w:r>
      <w:r>
        <w:rPr>
          <w:rFonts w:ascii="Bookman Old Style" w:hAnsi="Bookman Old Style"/>
          <w:sz w:val="28"/>
          <w:szCs w:val="28"/>
        </w:rPr>
        <w:tab/>
      </w:r>
      <w:r>
        <w:rPr>
          <w:rFonts w:ascii="Bookman Old Style" w:hAnsi="Bookman Old Style"/>
          <w:sz w:val="28"/>
          <w:szCs w:val="28"/>
        </w:rPr>
        <w:tab/>
        <w:t xml:space="preserve">       </w:t>
      </w:r>
      <w:r w:rsidR="003C42E6">
        <w:rPr>
          <w:rFonts w:ascii="Bookman Old Style" w:hAnsi="Bookman Old Style"/>
          <w:sz w:val="28"/>
          <w:szCs w:val="28"/>
        </w:rPr>
        <w:t>3</w:t>
      </w:r>
      <w:r w:rsidR="003C42E6" w:rsidRPr="003C42E6">
        <w:rPr>
          <w:rFonts w:ascii="Bookman Old Style" w:hAnsi="Bookman Old Style"/>
          <w:sz w:val="28"/>
          <w:szCs w:val="28"/>
          <w:vertAlign w:val="superscript"/>
        </w:rPr>
        <w:t>rd</w:t>
      </w:r>
      <w:r>
        <w:rPr>
          <w:rFonts w:ascii="Bookman Old Style" w:hAnsi="Bookman Old Style"/>
          <w:sz w:val="28"/>
          <w:szCs w:val="28"/>
          <w:vertAlign w:val="superscript"/>
        </w:rPr>
        <w:t xml:space="preserve">   </w:t>
      </w:r>
      <w:r>
        <w:rPr>
          <w:rFonts w:ascii="Bookman Old Style" w:hAnsi="Bookman Old Style"/>
          <w:sz w:val="28"/>
          <w:szCs w:val="28"/>
        </w:rPr>
        <w:t xml:space="preserve">RESPONDENT      </w:t>
      </w:r>
    </w:p>
    <w:p w:rsidR="00203C84" w:rsidRDefault="00203C84" w:rsidP="00203C84">
      <w:pPr>
        <w:pStyle w:val="NoSpacing"/>
        <w:jc w:val="both"/>
        <w:rPr>
          <w:rFonts w:ascii="Bookman Old Style" w:hAnsi="Bookman Old Style"/>
          <w:sz w:val="28"/>
          <w:szCs w:val="28"/>
        </w:rPr>
      </w:pPr>
      <w:r>
        <w:rPr>
          <w:rFonts w:ascii="Bookman Old Style" w:hAnsi="Bookman Old Style"/>
          <w:sz w:val="28"/>
          <w:szCs w:val="28"/>
        </w:rPr>
        <w:t>TALWANDI ELECTRICAL LIMITED</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4</w:t>
      </w:r>
      <w:r w:rsidRPr="00203C84">
        <w:rPr>
          <w:rFonts w:ascii="Bookman Old Style" w:hAnsi="Bookman Old Style"/>
          <w:sz w:val="28"/>
          <w:szCs w:val="28"/>
          <w:vertAlign w:val="superscript"/>
        </w:rPr>
        <w:t>TH</w:t>
      </w:r>
      <w:r>
        <w:rPr>
          <w:rFonts w:ascii="Bookman Old Style" w:hAnsi="Bookman Old Style"/>
          <w:sz w:val="28"/>
          <w:szCs w:val="28"/>
        </w:rPr>
        <w:t xml:space="preserve"> RESPONDENT</w:t>
      </w:r>
    </w:p>
    <w:p w:rsidR="00203C84" w:rsidRDefault="00203C84" w:rsidP="00203C84">
      <w:pPr>
        <w:pStyle w:val="NoSpacing"/>
        <w:jc w:val="both"/>
        <w:rPr>
          <w:rFonts w:ascii="Bookman Old Style" w:hAnsi="Bookman Old Style"/>
          <w:sz w:val="28"/>
          <w:szCs w:val="28"/>
        </w:rPr>
      </w:pPr>
      <w:r>
        <w:rPr>
          <w:rFonts w:ascii="Bookman Old Style" w:hAnsi="Bookman Old Style"/>
          <w:sz w:val="28"/>
          <w:szCs w:val="28"/>
        </w:rPr>
        <w:t>ALEX MUTALE AND 136 OTHERS</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5</w:t>
      </w:r>
      <w:r w:rsidRPr="00203C84">
        <w:rPr>
          <w:rFonts w:ascii="Bookman Old Style" w:hAnsi="Bookman Old Style"/>
          <w:sz w:val="28"/>
          <w:szCs w:val="28"/>
          <w:vertAlign w:val="superscript"/>
        </w:rPr>
        <w:t>TH</w:t>
      </w:r>
      <w:r>
        <w:rPr>
          <w:rFonts w:ascii="Bookman Old Style" w:hAnsi="Bookman Old Style"/>
          <w:sz w:val="28"/>
          <w:szCs w:val="28"/>
        </w:rPr>
        <w:t xml:space="preserve"> RESPONDENT</w:t>
      </w:r>
    </w:p>
    <w:p w:rsidR="00203C84" w:rsidRDefault="00203C84" w:rsidP="00203C84">
      <w:pPr>
        <w:pStyle w:val="NoSpacing"/>
        <w:jc w:val="both"/>
        <w:rPr>
          <w:rFonts w:ascii="Bookman Old Style" w:hAnsi="Bookman Old Style"/>
          <w:sz w:val="28"/>
          <w:szCs w:val="28"/>
        </w:rPr>
      </w:pPr>
    </w:p>
    <w:p w:rsidR="00203C84" w:rsidRDefault="00F4106E" w:rsidP="00203C84">
      <w:pPr>
        <w:pStyle w:val="NoSpacing"/>
        <w:jc w:val="both"/>
        <w:rPr>
          <w:rFonts w:ascii="Bookman Old Style" w:hAnsi="Bookman Old Style"/>
          <w:sz w:val="28"/>
          <w:szCs w:val="28"/>
        </w:rPr>
      </w:pPr>
      <w:r>
        <w:rPr>
          <w:rFonts w:ascii="Bookman Old Style" w:hAnsi="Bookman Old Style"/>
          <w:sz w:val="28"/>
          <w:szCs w:val="28"/>
        </w:rPr>
        <w:t>CORAM:  MAMBILIMA, DCJ;</w:t>
      </w:r>
      <w:r w:rsidR="00203C84">
        <w:rPr>
          <w:rFonts w:ascii="Bookman Old Style" w:hAnsi="Bookman Old Style"/>
          <w:sz w:val="28"/>
          <w:szCs w:val="28"/>
        </w:rPr>
        <w:t xml:space="preserve"> CHIBOMBA AND WANKI, JJS</w:t>
      </w:r>
    </w:p>
    <w:p w:rsidR="00203C84" w:rsidRDefault="00203C84" w:rsidP="00203C84">
      <w:pPr>
        <w:pStyle w:val="NoSpacing"/>
        <w:jc w:val="both"/>
        <w:rPr>
          <w:rFonts w:ascii="Bookman Old Style" w:hAnsi="Bookman Old Style"/>
          <w:sz w:val="28"/>
          <w:szCs w:val="28"/>
        </w:rPr>
      </w:pPr>
      <w:r>
        <w:rPr>
          <w:rFonts w:ascii="Bookman Old Style" w:hAnsi="Bookman Old Style"/>
          <w:sz w:val="28"/>
          <w:szCs w:val="28"/>
        </w:rPr>
        <w:t xml:space="preserve">              On 13</w:t>
      </w:r>
      <w:r w:rsidRPr="00203C84">
        <w:rPr>
          <w:rFonts w:ascii="Bookman Old Style" w:hAnsi="Bookman Old Style"/>
          <w:sz w:val="28"/>
          <w:szCs w:val="28"/>
          <w:vertAlign w:val="superscript"/>
        </w:rPr>
        <w:t>th</w:t>
      </w:r>
      <w:r w:rsidR="001717D0">
        <w:rPr>
          <w:rFonts w:ascii="Bookman Old Style" w:hAnsi="Bookman Old Style"/>
          <w:sz w:val="28"/>
          <w:szCs w:val="28"/>
        </w:rPr>
        <w:t xml:space="preserve"> January 2011 and 16</w:t>
      </w:r>
      <w:r w:rsidR="001717D0" w:rsidRPr="001717D0">
        <w:rPr>
          <w:rFonts w:ascii="Bookman Old Style" w:hAnsi="Bookman Old Style"/>
          <w:sz w:val="28"/>
          <w:szCs w:val="28"/>
          <w:vertAlign w:val="superscript"/>
        </w:rPr>
        <w:t>th</w:t>
      </w:r>
      <w:r w:rsidR="001717D0">
        <w:rPr>
          <w:rFonts w:ascii="Bookman Old Style" w:hAnsi="Bookman Old Style"/>
          <w:sz w:val="28"/>
          <w:szCs w:val="28"/>
        </w:rPr>
        <w:t xml:space="preserve"> January 2013</w:t>
      </w:r>
    </w:p>
    <w:p w:rsidR="00203C84" w:rsidRDefault="00203C84" w:rsidP="00203C84">
      <w:pPr>
        <w:pStyle w:val="NoSpacing"/>
        <w:jc w:val="both"/>
        <w:rPr>
          <w:rFonts w:ascii="Bookman Old Style" w:hAnsi="Bookman Old Style"/>
          <w:sz w:val="28"/>
          <w:szCs w:val="28"/>
        </w:rPr>
      </w:pPr>
    </w:p>
    <w:p w:rsidR="00203C84" w:rsidRDefault="00203C84" w:rsidP="00203C84">
      <w:pPr>
        <w:pStyle w:val="NoSpacing"/>
        <w:jc w:val="both"/>
        <w:rPr>
          <w:rFonts w:ascii="Bookman Old Style" w:hAnsi="Bookman Old Style"/>
          <w:sz w:val="28"/>
          <w:szCs w:val="28"/>
        </w:rPr>
      </w:pPr>
      <w:r>
        <w:rPr>
          <w:rFonts w:ascii="Bookman Old Style" w:hAnsi="Bookman Old Style"/>
          <w:sz w:val="28"/>
          <w:szCs w:val="28"/>
        </w:rPr>
        <w:t>For the Appellant:</w:t>
      </w:r>
      <w:r>
        <w:rPr>
          <w:rFonts w:ascii="Bookman Old Style" w:hAnsi="Bookman Old Style"/>
          <w:sz w:val="28"/>
          <w:szCs w:val="28"/>
        </w:rPr>
        <w:tab/>
      </w:r>
      <w:r>
        <w:rPr>
          <w:rFonts w:ascii="Bookman Old Style" w:hAnsi="Bookman Old Style"/>
          <w:sz w:val="28"/>
          <w:szCs w:val="28"/>
        </w:rPr>
        <w:tab/>
        <w:t>Mr. N.K. MUBONDA</w:t>
      </w:r>
      <w:r w:rsidR="00D60A11">
        <w:rPr>
          <w:rFonts w:ascii="Bookman Old Style" w:hAnsi="Bookman Old Style"/>
          <w:sz w:val="28"/>
          <w:szCs w:val="28"/>
        </w:rPr>
        <w:t>,</w:t>
      </w:r>
      <w:r>
        <w:rPr>
          <w:rFonts w:ascii="Bookman Old Style" w:hAnsi="Bookman Old Style"/>
          <w:sz w:val="28"/>
          <w:szCs w:val="28"/>
        </w:rPr>
        <w:t xml:space="preserve"> of D.H. Kemp &amp; Co.</w:t>
      </w:r>
    </w:p>
    <w:p w:rsidR="00203C84" w:rsidRDefault="00203C84" w:rsidP="00203C84">
      <w:pPr>
        <w:pStyle w:val="NoSpacing"/>
        <w:jc w:val="both"/>
        <w:rPr>
          <w:rFonts w:ascii="Bookman Old Style" w:hAnsi="Bookman Old Style"/>
          <w:sz w:val="28"/>
          <w:szCs w:val="28"/>
        </w:rPr>
      </w:pPr>
      <w:r>
        <w:rPr>
          <w:rFonts w:ascii="Bookman Old Style" w:hAnsi="Bookman Old Style"/>
          <w:sz w:val="28"/>
          <w:szCs w:val="28"/>
        </w:rPr>
        <w:t>For the Respondent</w:t>
      </w:r>
      <w:r w:rsidR="00F4106E">
        <w:rPr>
          <w:rFonts w:ascii="Bookman Old Style" w:hAnsi="Bookman Old Style"/>
          <w:sz w:val="28"/>
          <w:szCs w:val="28"/>
        </w:rPr>
        <w:t>s</w:t>
      </w:r>
      <w:r w:rsidR="00040AA6">
        <w:rPr>
          <w:rFonts w:ascii="Bookman Old Style" w:hAnsi="Bookman Old Style"/>
          <w:sz w:val="28"/>
          <w:szCs w:val="28"/>
        </w:rPr>
        <w:t>:</w:t>
      </w:r>
      <w:r w:rsidR="00040AA6">
        <w:rPr>
          <w:rFonts w:ascii="Bookman Old Style" w:hAnsi="Bookman Old Style"/>
          <w:sz w:val="28"/>
          <w:szCs w:val="28"/>
        </w:rPr>
        <w:tab/>
      </w:r>
      <w:r>
        <w:rPr>
          <w:rFonts w:ascii="Bookman Old Style" w:hAnsi="Bookman Old Style"/>
          <w:sz w:val="28"/>
          <w:szCs w:val="28"/>
        </w:rPr>
        <w:t>No Appearance</w:t>
      </w:r>
    </w:p>
    <w:p w:rsidR="00203C84" w:rsidRDefault="00203C84" w:rsidP="00203C84">
      <w:pPr>
        <w:pStyle w:val="NoSpacing"/>
        <w:pBdr>
          <w:bottom w:val="single" w:sz="12" w:space="1" w:color="auto"/>
        </w:pBdr>
        <w:jc w:val="both"/>
        <w:rPr>
          <w:rFonts w:ascii="Bookman Old Style" w:hAnsi="Bookman Old Style"/>
          <w:sz w:val="28"/>
          <w:szCs w:val="28"/>
        </w:rPr>
      </w:pPr>
    </w:p>
    <w:p w:rsidR="00203C84" w:rsidRDefault="00203C84" w:rsidP="00203C84">
      <w:pPr>
        <w:pStyle w:val="NoSpacing"/>
        <w:jc w:val="both"/>
        <w:rPr>
          <w:rFonts w:ascii="Bookman Old Style" w:hAnsi="Bookman Old Style"/>
          <w:sz w:val="28"/>
          <w:szCs w:val="28"/>
        </w:rPr>
      </w:pPr>
    </w:p>
    <w:p w:rsidR="00203C84" w:rsidRDefault="00203C84" w:rsidP="00203C84">
      <w:pPr>
        <w:pStyle w:val="NoSpacing"/>
        <w:pBdr>
          <w:bottom w:val="single" w:sz="12" w:space="1" w:color="auto"/>
        </w:pBdr>
        <w:jc w:val="center"/>
        <w:rPr>
          <w:rFonts w:ascii="Bookman Old Style" w:hAnsi="Bookman Old Style"/>
          <w:sz w:val="28"/>
          <w:szCs w:val="28"/>
        </w:rPr>
      </w:pPr>
      <w:r>
        <w:rPr>
          <w:rFonts w:ascii="Bookman Old Style" w:hAnsi="Bookman Old Style"/>
          <w:sz w:val="28"/>
          <w:szCs w:val="28"/>
        </w:rPr>
        <w:t>JUDGMENT</w:t>
      </w:r>
    </w:p>
    <w:p w:rsidR="00D878B2" w:rsidRDefault="00D878B2" w:rsidP="00203C84">
      <w:pPr>
        <w:pStyle w:val="NoSpacing"/>
        <w:jc w:val="both"/>
        <w:rPr>
          <w:rFonts w:ascii="Bookman Old Style" w:hAnsi="Bookman Old Style"/>
          <w:sz w:val="28"/>
          <w:szCs w:val="28"/>
        </w:rPr>
      </w:pPr>
      <w:r>
        <w:rPr>
          <w:rFonts w:ascii="Bookman Old Style" w:hAnsi="Bookman Old Style"/>
          <w:sz w:val="28"/>
          <w:szCs w:val="28"/>
        </w:rPr>
        <w:t>MAMBILIMA, DCJ delivered the judgment of the Court.</w:t>
      </w:r>
    </w:p>
    <w:p w:rsidR="00D878B2" w:rsidRDefault="00D878B2" w:rsidP="00203C84">
      <w:pPr>
        <w:pStyle w:val="NoSpacing"/>
        <w:jc w:val="both"/>
        <w:rPr>
          <w:rFonts w:ascii="Bookman Old Style" w:hAnsi="Bookman Old Style"/>
          <w:sz w:val="28"/>
          <w:szCs w:val="28"/>
        </w:rPr>
      </w:pPr>
    </w:p>
    <w:p w:rsidR="00D878B2" w:rsidRDefault="00D878B2" w:rsidP="00203C84">
      <w:pPr>
        <w:pStyle w:val="NoSpacing"/>
        <w:jc w:val="both"/>
        <w:rPr>
          <w:rFonts w:ascii="Bookman Old Style" w:hAnsi="Bookman Old Style"/>
          <w:sz w:val="28"/>
          <w:szCs w:val="28"/>
        </w:rPr>
      </w:pPr>
    </w:p>
    <w:p w:rsidR="00D878B2" w:rsidRDefault="00D60A11" w:rsidP="00203C84">
      <w:pPr>
        <w:pStyle w:val="NoSpacing"/>
        <w:jc w:val="both"/>
        <w:rPr>
          <w:rFonts w:ascii="Bookman Old Style" w:hAnsi="Bookman Old Style"/>
          <w:sz w:val="28"/>
          <w:szCs w:val="28"/>
        </w:rPr>
      </w:pPr>
      <w:r>
        <w:rPr>
          <w:rFonts w:ascii="Bookman Old Style" w:hAnsi="Bookman Old Style"/>
          <w:b/>
          <w:sz w:val="20"/>
          <w:szCs w:val="20"/>
          <w:u w:val="single"/>
        </w:rPr>
        <w:t>CAS</w:t>
      </w:r>
      <w:r w:rsidR="00D878B2" w:rsidRPr="00D878B2">
        <w:rPr>
          <w:rFonts w:ascii="Bookman Old Style" w:hAnsi="Bookman Old Style"/>
          <w:b/>
          <w:sz w:val="20"/>
          <w:szCs w:val="20"/>
          <w:u w:val="single"/>
        </w:rPr>
        <w:t>ES REFERRED TO</w:t>
      </w:r>
      <w:r w:rsidR="00D878B2">
        <w:rPr>
          <w:rFonts w:ascii="Bookman Old Style" w:hAnsi="Bookman Old Style"/>
          <w:sz w:val="28"/>
          <w:szCs w:val="28"/>
        </w:rPr>
        <w:t>:</w:t>
      </w:r>
    </w:p>
    <w:p w:rsidR="00F4106E" w:rsidRDefault="00F4106E" w:rsidP="00203C84">
      <w:pPr>
        <w:pStyle w:val="NoSpacing"/>
        <w:jc w:val="both"/>
        <w:rPr>
          <w:rFonts w:ascii="Bookman Old Style" w:hAnsi="Bookman Old Style"/>
          <w:sz w:val="28"/>
          <w:szCs w:val="28"/>
        </w:rPr>
      </w:pPr>
    </w:p>
    <w:p w:rsidR="00F4106E" w:rsidRDefault="00F4106E" w:rsidP="00F4106E">
      <w:pPr>
        <w:pStyle w:val="NoSpacing"/>
        <w:numPr>
          <w:ilvl w:val="0"/>
          <w:numId w:val="2"/>
        </w:numPr>
        <w:jc w:val="both"/>
        <w:rPr>
          <w:rFonts w:ascii="Bookman Old Style" w:hAnsi="Bookman Old Style"/>
          <w:b/>
          <w:sz w:val="20"/>
          <w:szCs w:val="20"/>
        </w:rPr>
      </w:pPr>
      <w:r>
        <w:rPr>
          <w:rFonts w:ascii="Bookman Old Style" w:hAnsi="Bookman Old Style"/>
          <w:b/>
          <w:sz w:val="20"/>
          <w:szCs w:val="20"/>
        </w:rPr>
        <w:t>WATER WELLS LTD VS JACKSON (1984) ZR 98</w:t>
      </w:r>
    </w:p>
    <w:p w:rsidR="00F4106E" w:rsidRDefault="00F4106E" w:rsidP="00F4106E">
      <w:pPr>
        <w:pStyle w:val="NoSpacing"/>
        <w:numPr>
          <w:ilvl w:val="0"/>
          <w:numId w:val="2"/>
        </w:numPr>
        <w:jc w:val="both"/>
        <w:rPr>
          <w:rFonts w:ascii="Bookman Old Style" w:hAnsi="Bookman Old Style"/>
          <w:b/>
          <w:sz w:val="20"/>
          <w:szCs w:val="20"/>
        </w:rPr>
      </w:pPr>
      <w:r>
        <w:rPr>
          <w:rFonts w:ascii="Bookman Old Style" w:hAnsi="Bookman Old Style"/>
          <w:b/>
          <w:sz w:val="20"/>
          <w:szCs w:val="20"/>
        </w:rPr>
        <w:t xml:space="preserve">GOSLING VS GASKELL AND </w:t>
      </w:r>
      <w:r w:rsidR="00CF41B8">
        <w:rPr>
          <w:rFonts w:ascii="Bookman Old Style" w:hAnsi="Bookman Old Style"/>
          <w:b/>
          <w:sz w:val="20"/>
          <w:szCs w:val="20"/>
        </w:rPr>
        <w:t>G</w:t>
      </w:r>
      <w:r>
        <w:rPr>
          <w:rFonts w:ascii="Bookman Old Style" w:hAnsi="Bookman Old Style"/>
          <w:b/>
          <w:sz w:val="20"/>
          <w:szCs w:val="20"/>
        </w:rPr>
        <w:t>ROCOTT (1895-1899) ALL ER 300</w:t>
      </w:r>
    </w:p>
    <w:p w:rsidR="00F4106E" w:rsidRDefault="00F4106E" w:rsidP="00F4106E">
      <w:pPr>
        <w:pStyle w:val="NoSpacing"/>
        <w:jc w:val="both"/>
        <w:rPr>
          <w:rFonts w:ascii="Bookman Old Style" w:hAnsi="Bookman Old Style"/>
          <w:b/>
          <w:sz w:val="20"/>
          <w:szCs w:val="20"/>
        </w:rPr>
      </w:pPr>
    </w:p>
    <w:p w:rsidR="00F4106E" w:rsidRPr="00F4106E" w:rsidRDefault="00F4106E" w:rsidP="00F4106E">
      <w:pPr>
        <w:pStyle w:val="NoSpacing"/>
        <w:jc w:val="both"/>
        <w:rPr>
          <w:rFonts w:ascii="Bookman Old Style" w:hAnsi="Bookman Old Style"/>
          <w:b/>
          <w:sz w:val="20"/>
          <w:szCs w:val="20"/>
          <w:u w:val="single"/>
        </w:rPr>
      </w:pPr>
      <w:r w:rsidRPr="00F4106E">
        <w:rPr>
          <w:rFonts w:ascii="Bookman Old Style" w:hAnsi="Bookman Old Style"/>
          <w:b/>
          <w:sz w:val="20"/>
          <w:szCs w:val="20"/>
          <w:u w:val="single"/>
        </w:rPr>
        <w:t>LEGISLATION &amp; WORKS REFERRED TO:</w:t>
      </w:r>
    </w:p>
    <w:p w:rsidR="00D878B2" w:rsidRDefault="00F4106E" w:rsidP="00203C84">
      <w:pPr>
        <w:pStyle w:val="NoSpacing"/>
        <w:jc w:val="both"/>
        <w:rPr>
          <w:rFonts w:ascii="Bookman Old Style" w:hAnsi="Bookman Old Style"/>
        </w:rPr>
      </w:pPr>
      <w:r w:rsidRPr="00F4106E">
        <w:rPr>
          <w:rFonts w:ascii="Bookman Old Style" w:hAnsi="Bookman Old Style"/>
          <w:u w:val="single"/>
        </w:rPr>
        <w:t xml:space="preserve">                                                                                  </w:t>
      </w:r>
    </w:p>
    <w:p w:rsidR="00D878B2" w:rsidRDefault="00F4106E" w:rsidP="00F4106E">
      <w:pPr>
        <w:pStyle w:val="NoSpacing"/>
        <w:numPr>
          <w:ilvl w:val="0"/>
          <w:numId w:val="4"/>
        </w:numPr>
        <w:jc w:val="both"/>
        <w:rPr>
          <w:rFonts w:ascii="Bookman Old Style" w:hAnsi="Bookman Old Style"/>
          <w:b/>
          <w:sz w:val="20"/>
          <w:szCs w:val="20"/>
        </w:rPr>
      </w:pPr>
      <w:r>
        <w:rPr>
          <w:rFonts w:ascii="Bookman Old Style" w:hAnsi="Bookman Old Style"/>
          <w:b/>
          <w:sz w:val="20"/>
          <w:szCs w:val="20"/>
        </w:rPr>
        <w:t>THE COMPANIES ACT, CAP 388 OF THE LAWS OF ZAMBIA</w:t>
      </w:r>
    </w:p>
    <w:p w:rsidR="00CF4BD7" w:rsidRDefault="00CF4BD7" w:rsidP="00CF4BD7">
      <w:pPr>
        <w:pStyle w:val="NoSpacing"/>
        <w:ind w:left="720"/>
        <w:jc w:val="right"/>
        <w:rPr>
          <w:rFonts w:ascii="Bookman Old Style" w:hAnsi="Bookman Old Style"/>
          <w:b/>
          <w:sz w:val="20"/>
          <w:szCs w:val="20"/>
        </w:rPr>
      </w:pPr>
      <w:r>
        <w:rPr>
          <w:rFonts w:ascii="Bookman Old Style" w:hAnsi="Bookman Old Style"/>
          <w:b/>
          <w:sz w:val="20"/>
          <w:szCs w:val="20"/>
        </w:rPr>
        <w:lastRenderedPageBreak/>
        <w:t>2</w:t>
      </w:r>
    </w:p>
    <w:p w:rsidR="00F4106E" w:rsidRDefault="00F4106E" w:rsidP="00F4106E">
      <w:pPr>
        <w:pStyle w:val="NoSpacing"/>
        <w:numPr>
          <w:ilvl w:val="0"/>
          <w:numId w:val="4"/>
        </w:numPr>
        <w:jc w:val="both"/>
        <w:rPr>
          <w:rFonts w:ascii="Bookman Old Style" w:hAnsi="Bookman Old Style"/>
          <w:b/>
          <w:sz w:val="20"/>
          <w:szCs w:val="20"/>
        </w:rPr>
      </w:pPr>
      <w:r>
        <w:rPr>
          <w:rFonts w:ascii="Bookman Old Style" w:hAnsi="Bookman Old Style"/>
          <w:b/>
          <w:sz w:val="20"/>
          <w:szCs w:val="20"/>
        </w:rPr>
        <w:t>LIGHTMAN + MOSS THE LAW OF RECEIVERS OF COMPANIES 2</w:t>
      </w:r>
      <w:r w:rsidRPr="00F4106E">
        <w:rPr>
          <w:rFonts w:ascii="Bookman Old Style" w:hAnsi="Bookman Old Style"/>
          <w:b/>
          <w:sz w:val="20"/>
          <w:szCs w:val="20"/>
          <w:vertAlign w:val="superscript"/>
        </w:rPr>
        <w:t>ND</w:t>
      </w:r>
      <w:r>
        <w:rPr>
          <w:rFonts w:ascii="Bookman Old Style" w:hAnsi="Bookman Old Style"/>
          <w:b/>
          <w:sz w:val="20"/>
          <w:szCs w:val="20"/>
        </w:rPr>
        <w:t xml:space="preserve"> EDITION PAGES 176 AND 185</w:t>
      </w:r>
    </w:p>
    <w:p w:rsidR="00F4106E" w:rsidRDefault="00F4106E" w:rsidP="00F4106E">
      <w:pPr>
        <w:pStyle w:val="NoSpacing"/>
        <w:numPr>
          <w:ilvl w:val="0"/>
          <w:numId w:val="4"/>
        </w:numPr>
        <w:jc w:val="both"/>
        <w:rPr>
          <w:rFonts w:ascii="Bookman Old Style" w:hAnsi="Bookman Old Style"/>
          <w:b/>
          <w:sz w:val="20"/>
          <w:szCs w:val="20"/>
        </w:rPr>
      </w:pPr>
      <w:r>
        <w:rPr>
          <w:rFonts w:ascii="Bookman Old Style" w:hAnsi="Bookman Old Style"/>
          <w:b/>
          <w:sz w:val="20"/>
          <w:szCs w:val="20"/>
        </w:rPr>
        <w:t>HURBERT PICARDA, THE LAW RELATING TO RECEIVERS AND MANAGERS 1985, PAGE 137</w:t>
      </w:r>
    </w:p>
    <w:p w:rsidR="00F4106E" w:rsidRDefault="00F4106E" w:rsidP="00F4106E">
      <w:pPr>
        <w:pStyle w:val="NoSpacing"/>
        <w:numPr>
          <w:ilvl w:val="0"/>
          <w:numId w:val="4"/>
        </w:numPr>
        <w:jc w:val="both"/>
        <w:rPr>
          <w:rFonts w:ascii="Bookman Old Style" w:hAnsi="Bookman Old Style"/>
          <w:b/>
          <w:sz w:val="20"/>
          <w:szCs w:val="20"/>
        </w:rPr>
      </w:pPr>
      <w:r>
        <w:rPr>
          <w:rFonts w:ascii="Bookman Old Style" w:hAnsi="Bookman Old Style"/>
          <w:b/>
          <w:sz w:val="20"/>
          <w:szCs w:val="20"/>
        </w:rPr>
        <w:t>PENNINGTON’S COMPANY LAW, 15</w:t>
      </w:r>
      <w:r w:rsidRPr="00F4106E">
        <w:rPr>
          <w:rFonts w:ascii="Bookman Old Style" w:hAnsi="Bookman Old Style"/>
          <w:b/>
          <w:sz w:val="20"/>
          <w:szCs w:val="20"/>
          <w:vertAlign w:val="superscript"/>
        </w:rPr>
        <w:t>TH</w:t>
      </w:r>
      <w:r>
        <w:rPr>
          <w:rFonts w:ascii="Bookman Old Style" w:hAnsi="Bookman Old Style"/>
          <w:b/>
          <w:sz w:val="20"/>
          <w:szCs w:val="20"/>
        </w:rPr>
        <w:t xml:space="preserve"> EDITIION , PAGE 564</w:t>
      </w:r>
    </w:p>
    <w:p w:rsidR="00D878B2" w:rsidRPr="00735540" w:rsidRDefault="00F4106E" w:rsidP="00203C84">
      <w:pPr>
        <w:pStyle w:val="NoSpacing"/>
        <w:numPr>
          <w:ilvl w:val="0"/>
          <w:numId w:val="4"/>
        </w:numPr>
        <w:jc w:val="both"/>
        <w:rPr>
          <w:rFonts w:ascii="Bookman Old Style" w:hAnsi="Bookman Old Style"/>
          <w:b/>
          <w:sz w:val="20"/>
          <w:szCs w:val="20"/>
        </w:rPr>
      </w:pPr>
      <w:r>
        <w:rPr>
          <w:rFonts w:ascii="Bookman Old Style" w:hAnsi="Bookman Old Style"/>
          <w:b/>
          <w:sz w:val="20"/>
          <w:szCs w:val="20"/>
        </w:rPr>
        <w:t>L.C.</w:t>
      </w:r>
      <w:r w:rsidR="00CF41B8">
        <w:rPr>
          <w:rFonts w:ascii="Bookman Old Style" w:hAnsi="Bookman Old Style"/>
          <w:b/>
          <w:sz w:val="20"/>
          <w:szCs w:val="20"/>
        </w:rPr>
        <w:t>B</w:t>
      </w:r>
      <w:r>
        <w:rPr>
          <w:rFonts w:ascii="Bookman Old Style" w:hAnsi="Bookman Old Style"/>
          <w:b/>
          <w:sz w:val="20"/>
          <w:szCs w:val="20"/>
        </w:rPr>
        <w:t>. GOWER, MODERN COMPANY LAW, 4</w:t>
      </w:r>
      <w:r w:rsidRPr="00F4106E">
        <w:rPr>
          <w:rFonts w:ascii="Bookman Old Style" w:hAnsi="Bookman Old Style"/>
          <w:b/>
          <w:sz w:val="20"/>
          <w:szCs w:val="20"/>
          <w:vertAlign w:val="superscript"/>
        </w:rPr>
        <w:t>TH</w:t>
      </w:r>
      <w:r>
        <w:rPr>
          <w:rFonts w:ascii="Bookman Old Style" w:hAnsi="Bookman Old Style"/>
          <w:b/>
          <w:sz w:val="20"/>
          <w:szCs w:val="20"/>
        </w:rPr>
        <w:t xml:space="preserve"> EDITION PAGE 472</w:t>
      </w:r>
    </w:p>
    <w:p w:rsidR="00D878B2" w:rsidRDefault="00D878B2" w:rsidP="00203C84">
      <w:pPr>
        <w:pStyle w:val="NoSpacing"/>
        <w:jc w:val="both"/>
        <w:rPr>
          <w:rFonts w:ascii="Bookman Old Style" w:hAnsi="Bookman Old Style"/>
        </w:rPr>
      </w:pPr>
    </w:p>
    <w:p w:rsidR="00D878B2" w:rsidRDefault="00D878B2" w:rsidP="00203C84">
      <w:pPr>
        <w:pStyle w:val="NoSpacing"/>
        <w:jc w:val="both"/>
        <w:rPr>
          <w:rFonts w:ascii="Bookman Old Style" w:hAnsi="Bookman Old Style"/>
        </w:rPr>
      </w:pPr>
    </w:p>
    <w:p w:rsidR="00D878B2" w:rsidRDefault="00D878B2" w:rsidP="00203C84">
      <w:pPr>
        <w:pStyle w:val="NoSpacing"/>
        <w:jc w:val="both"/>
        <w:rPr>
          <w:rFonts w:ascii="Bookman Old Style" w:hAnsi="Bookman Old Style"/>
        </w:rPr>
      </w:pPr>
    </w:p>
    <w:p w:rsidR="00FA45A7" w:rsidRDefault="00D878B2" w:rsidP="00E57013">
      <w:pPr>
        <w:pStyle w:val="NoSpacing"/>
        <w:spacing w:line="480" w:lineRule="auto"/>
        <w:jc w:val="both"/>
        <w:rPr>
          <w:rFonts w:ascii="Bookman Old Style" w:hAnsi="Bookman Old Style"/>
          <w:sz w:val="28"/>
          <w:szCs w:val="28"/>
        </w:rPr>
      </w:pPr>
      <w:r>
        <w:rPr>
          <w:rFonts w:ascii="Bookman Old Style" w:hAnsi="Bookman Old Style"/>
          <w:sz w:val="28"/>
          <w:szCs w:val="28"/>
        </w:rPr>
        <w:tab/>
        <w:t>This appeal is from the decision of t</w:t>
      </w:r>
      <w:r w:rsidR="00735540">
        <w:rPr>
          <w:rFonts w:ascii="Bookman Old Style" w:hAnsi="Bookman Old Style"/>
          <w:sz w:val="28"/>
          <w:szCs w:val="28"/>
        </w:rPr>
        <w:t>he High Court on an application by the Appellant’s liquidator, one Germano Mutale KAULUNG’OMBE</w:t>
      </w:r>
      <w:r w:rsidR="00366456">
        <w:rPr>
          <w:rFonts w:ascii="Bookman Old Style" w:hAnsi="Bookman Old Style"/>
          <w:sz w:val="28"/>
          <w:szCs w:val="28"/>
        </w:rPr>
        <w:t>,</w:t>
      </w:r>
      <w:r w:rsidR="00735540">
        <w:rPr>
          <w:rFonts w:ascii="Bookman Old Style" w:hAnsi="Bookman Old Style"/>
          <w:sz w:val="28"/>
          <w:szCs w:val="28"/>
        </w:rPr>
        <w:t xml:space="preserve"> </w:t>
      </w:r>
      <w:r>
        <w:rPr>
          <w:rFonts w:ascii="Bookman Old Style" w:hAnsi="Bookman Old Style"/>
          <w:sz w:val="28"/>
          <w:szCs w:val="28"/>
        </w:rPr>
        <w:t xml:space="preserve">to </w:t>
      </w:r>
      <w:r w:rsidR="00D6265B">
        <w:rPr>
          <w:rFonts w:ascii="Bookman Old Style" w:hAnsi="Bookman Old Style"/>
          <w:sz w:val="28"/>
          <w:szCs w:val="28"/>
        </w:rPr>
        <w:t>review a Ruling that was</w:t>
      </w:r>
      <w:r>
        <w:rPr>
          <w:rFonts w:ascii="Bookman Old Style" w:hAnsi="Bookman Old Style"/>
          <w:sz w:val="28"/>
          <w:szCs w:val="28"/>
        </w:rPr>
        <w:t xml:space="preserve"> given by the Court</w:t>
      </w:r>
      <w:r w:rsidR="00D6265B">
        <w:rPr>
          <w:rFonts w:ascii="Bookman Old Style" w:hAnsi="Bookman Old Style"/>
          <w:sz w:val="28"/>
          <w:szCs w:val="28"/>
        </w:rPr>
        <w:t xml:space="preserve"> on 20</w:t>
      </w:r>
      <w:r w:rsidR="00D6265B" w:rsidRPr="00D6265B">
        <w:rPr>
          <w:rFonts w:ascii="Bookman Old Style" w:hAnsi="Bookman Old Style"/>
          <w:sz w:val="28"/>
          <w:szCs w:val="28"/>
          <w:vertAlign w:val="superscript"/>
        </w:rPr>
        <w:t>th</w:t>
      </w:r>
      <w:r w:rsidR="00D6265B">
        <w:rPr>
          <w:rFonts w:ascii="Bookman Old Style" w:hAnsi="Bookman Old Style"/>
          <w:sz w:val="28"/>
          <w:szCs w:val="28"/>
        </w:rPr>
        <w:t xml:space="preserve"> October 1995</w:t>
      </w:r>
      <w:r>
        <w:rPr>
          <w:rFonts w:ascii="Bookman Old Style" w:hAnsi="Bookman Old Style"/>
          <w:sz w:val="28"/>
          <w:szCs w:val="28"/>
        </w:rPr>
        <w:t xml:space="preserve">. </w:t>
      </w:r>
    </w:p>
    <w:p w:rsidR="007440EF" w:rsidRDefault="00FA45A7" w:rsidP="00E57013">
      <w:pPr>
        <w:pStyle w:val="NoSpacing"/>
        <w:spacing w:line="480" w:lineRule="auto"/>
        <w:jc w:val="both"/>
        <w:rPr>
          <w:rFonts w:ascii="Bookman Old Style" w:hAnsi="Bookman Old Style"/>
          <w:sz w:val="28"/>
          <w:szCs w:val="28"/>
        </w:rPr>
      </w:pPr>
      <w:r>
        <w:rPr>
          <w:rFonts w:ascii="Bookman Old Style" w:hAnsi="Bookman Old Style"/>
          <w:sz w:val="28"/>
          <w:szCs w:val="28"/>
        </w:rPr>
        <w:tab/>
        <w:t>The facts in this case are common cause.  In May 1995, the Respondents filed a Petition in the High Court for an Order to wind up the Appellant Company and appoint a liquidator.  The Order was granted on 5</w:t>
      </w:r>
      <w:r w:rsidRPr="00FA45A7">
        <w:rPr>
          <w:rFonts w:ascii="Bookman Old Style" w:hAnsi="Bookman Old Style"/>
          <w:sz w:val="28"/>
          <w:szCs w:val="28"/>
          <w:vertAlign w:val="superscript"/>
        </w:rPr>
        <w:t>th</w:t>
      </w:r>
      <w:r>
        <w:rPr>
          <w:rFonts w:ascii="Bookman Old Style" w:hAnsi="Bookman Old Style"/>
          <w:sz w:val="28"/>
          <w:szCs w:val="28"/>
        </w:rPr>
        <w:t xml:space="preserve"> August 1995.  Messrs Kangwa Sombe and Company were appointed liquidators to work jointly with </w:t>
      </w:r>
      <w:r w:rsidR="0089674F">
        <w:rPr>
          <w:rFonts w:ascii="Bookman Old Style" w:hAnsi="Bookman Old Style"/>
          <w:sz w:val="28"/>
          <w:szCs w:val="28"/>
        </w:rPr>
        <w:t>Mr. Bernard Leigh GADSEN</w:t>
      </w:r>
      <w:r w:rsidR="00204348">
        <w:rPr>
          <w:rFonts w:ascii="Bookman Old Style" w:hAnsi="Bookman Old Style"/>
          <w:sz w:val="28"/>
          <w:szCs w:val="28"/>
        </w:rPr>
        <w:t>,</w:t>
      </w:r>
      <w:r w:rsidR="0089674F">
        <w:rPr>
          <w:rFonts w:ascii="Bookman Old Style" w:hAnsi="Bookman Old Style"/>
          <w:sz w:val="28"/>
          <w:szCs w:val="28"/>
        </w:rPr>
        <w:t xml:space="preserve"> the receiver/manager who had been appointed by the Zambian National Commercial Bank (hereinafter </w:t>
      </w:r>
      <w:r w:rsidR="00366456">
        <w:rPr>
          <w:rFonts w:ascii="Bookman Old Style" w:hAnsi="Bookman Old Style"/>
          <w:sz w:val="28"/>
          <w:szCs w:val="28"/>
        </w:rPr>
        <w:t xml:space="preserve">sometimes </w:t>
      </w:r>
      <w:r w:rsidR="0089674F">
        <w:rPr>
          <w:rFonts w:ascii="Bookman Old Style" w:hAnsi="Bookman Old Style"/>
          <w:sz w:val="28"/>
          <w:szCs w:val="28"/>
        </w:rPr>
        <w:t xml:space="preserve">referred to as </w:t>
      </w:r>
      <w:r w:rsidR="0089674F" w:rsidRPr="0089674F">
        <w:rPr>
          <w:rFonts w:ascii="Bookman Old Style" w:hAnsi="Bookman Old Style"/>
          <w:b/>
          <w:sz w:val="28"/>
          <w:szCs w:val="28"/>
        </w:rPr>
        <w:t>‘the Bank’</w:t>
      </w:r>
      <w:r w:rsidR="0089674F">
        <w:rPr>
          <w:rFonts w:ascii="Bookman Old Style" w:hAnsi="Bookman Old Style"/>
          <w:sz w:val="28"/>
          <w:szCs w:val="28"/>
        </w:rPr>
        <w:t xml:space="preserve">) </w:t>
      </w:r>
      <w:r>
        <w:rPr>
          <w:rFonts w:ascii="Bookman Old Style" w:hAnsi="Bookman Old Style"/>
          <w:sz w:val="28"/>
          <w:szCs w:val="28"/>
        </w:rPr>
        <w:t xml:space="preserve"> </w:t>
      </w:r>
      <w:r w:rsidR="00D878B2">
        <w:rPr>
          <w:rFonts w:ascii="Bookman Old Style" w:hAnsi="Bookman Old Style"/>
          <w:sz w:val="28"/>
          <w:szCs w:val="28"/>
        </w:rPr>
        <w:t xml:space="preserve"> </w:t>
      </w:r>
    </w:p>
    <w:p w:rsidR="00CF4BD7" w:rsidRDefault="00D878B2" w:rsidP="00CF4BD7">
      <w:pPr>
        <w:pStyle w:val="NoSpacing"/>
        <w:spacing w:line="480" w:lineRule="auto"/>
        <w:ind w:firstLine="720"/>
        <w:jc w:val="both"/>
        <w:rPr>
          <w:rFonts w:ascii="Bookman Old Style" w:hAnsi="Bookman Old Style"/>
          <w:sz w:val="28"/>
          <w:szCs w:val="28"/>
        </w:rPr>
      </w:pPr>
      <w:r>
        <w:rPr>
          <w:rFonts w:ascii="Bookman Old Style" w:hAnsi="Bookman Old Style"/>
          <w:sz w:val="28"/>
          <w:szCs w:val="28"/>
        </w:rPr>
        <w:t>The</w:t>
      </w:r>
      <w:r w:rsidR="00E57013">
        <w:rPr>
          <w:rFonts w:ascii="Bookman Old Style" w:hAnsi="Bookman Old Style"/>
          <w:sz w:val="28"/>
          <w:szCs w:val="28"/>
        </w:rPr>
        <w:t xml:space="preserve"> Affidavit in Support of the Su</w:t>
      </w:r>
      <w:r w:rsidR="00FA45A7">
        <w:rPr>
          <w:rFonts w:ascii="Bookman Old Style" w:hAnsi="Bookman Old Style"/>
          <w:sz w:val="28"/>
          <w:szCs w:val="28"/>
        </w:rPr>
        <w:t xml:space="preserve">mmons for review was sworn by the Applicant, Mr.  KAULUNG’OMBE. He deposed that </w:t>
      </w:r>
      <w:r w:rsidR="00E57013">
        <w:rPr>
          <w:rFonts w:ascii="Bookman Old Style" w:hAnsi="Bookman Old Style"/>
          <w:sz w:val="28"/>
          <w:szCs w:val="28"/>
        </w:rPr>
        <w:t>after the Court had made an Order that the Appellant Company be wound u</w:t>
      </w:r>
      <w:r w:rsidR="00FA45A7">
        <w:rPr>
          <w:rFonts w:ascii="Bookman Old Style" w:hAnsi="Bookman Old Style"/>
          <w:sz w:val="28"/>
          <w:szCs w:val="28"/>
        </w:rPr>
        <w:t xml:space="preserve">p, the receiver, Mr. GADSDEN </w:t>
      </w:r>
      <w:r w:rsidR="0089674F">
        <w:rPr>
          <w:rFonts w:ascii="Bookman Old Style" w:hAnsi="Bookman Old Style"/>
          <w:sz w:val="28"/>
          <w:szCs w:val="28"/>
        </w:rPr>
        <w:t>applied t</w:t>
      </w:r>
      <w:r w:rsidR="00546BA5">
        <w:rPr>
          <w:rFonts w:ascii="Bookman Old Style" w:hAnsi="Bookman Old Style"/>
          <w:sz w:val="28"/>
          <w:szCs w:val="28"/>
        </w:rPr>
        <w:t>o vary</w:t>
      </w:r>
      <w:r w:rsidR="00FA45A7">
        <w:rPr>
          <w:rFonts w:ascii="Bookman Old Style" w:hAnsi="Bookman Old Style"/>
          <w:sz w:val="28"/>
          <w:szCs w:val="28"/>
        </w:rPr>
        <w:t xml:space="preserve"> the Order of the </w:t>
      </w:r>
    </w:p>
    <w:p w:rsidR="00CF4BD7" w:rsidRDefault="00CF4BD7" w:rsidP="00CF4BD7">
      <w:pPr>
        <w:pStyle w:val="NoSpacing"/>
        <w:spacing w:line="480" w:lineRule="auto"/>
        <w:jc w:val="right"/>
        <w:rPr>
          <w:rFonts w:ascii="Bookman Old Style" w:hAnsi="Bookman Old Style"/>
          <w:sz w:val="28"/>
          <w:szCs w:val="28"/>
        </w:rPr>
      </w:pPr>
      <w:r>
        <w:rPr>
          <w:rFonts w:ascii="Bookman Old Style" w:hAnsi="Bookman Old Style"/>
          <w:sz w:val="28"/>
          <w:szCs w:val="28"/>
        </w:rPr>
        <w:lastRenderedPageBreak/>
        <w:t>3</w:t>
      </w:r>
    </w:p>
    <w:p w:rsidR="00636C30" w:rsidRDefault="00FA45A7" w:rsidP="00CF4BD7">
      <w:pPr>
        <w:pStyle w:val="NoSpacing"/>
        <w:spacing w:line="480" w:lineRule="auto"/>
        <w:jc w:val="both"/>
        <w:rPr>
          <w:rFonts w:ascii="Bookman Old Style" w:hAnsi="Bookman Old Style"/>
          <w:sz w:val="28"/>
          <w:szCs w:val="28"/>
        </w:rPr>
      </w:pPr>
      <w:r>
        <w:rPr>
          <w:rFonts w:ascii="Bookman Old Style" w:hAnsi="Bookman Old Style"/>
          <w:sz w:val="28"/>
          <w:szCs w:val="28"/>
        </w:rPr>
        <w:t>Court</w:t>
      </w:r>
      <w:r w:rsidR="00753442">
        <w:rPr>
          <w:rFonts w:ascii="Bookman Old Style" w:hAnsi="Bookman Old Style"/>
          <w:sz w:val="28"/>
          <w:szCs w:val="28"/>
        </w:rPr>
        <w:t xml:space="preserve"> praying </w:t>
      </w:r>
      <w:r w:rsidR="00546BA5">
        <w:rPr>
          <w:rFonts w:ascii="Bookman Old Style" w:hAnsi="Bookman Old Style"/>
          <w:sz w:val="28"/>
          <w:szCs w:val="28"/>
        </w:rPr>
        <w:t xml:space="preserve">that he alone should retain possession of all the assets of Livingstone Motor Assemblies Limited.  </w:t>
      </w:r>
      <w:r w:rsidR="00753442">
        <w:rPr>
          <w:rFonts w:ascii="Bookman Old Style" w:hAnsi="Bookman Old Style"/>
          <w:sz w:val="28"/>
          <w:szCs w:val="28"/>
        </w:rPr>
        <w:t>Mr. KAULUNG’OMBE deposed further:-</w:t>
      </w:r>
    </w:p>
    <w:p w:rsidR="00753442" w:rsidRDefault="00753442" w:rsidP="0051482B">
      <w:pPr>
        <w:pStyle w:val="NoSpacing"/>
        <w:ind w:left="720" w:hanging="360"/>
        <w:jc w:val="both"/>
        <w:rPr>
          <w:rFonts w:ascii="Bookman Old Style" w:hAnsi="Bookman Old Style"/>
          <w:b/>
          <w:sz w:val="20"/>
          <w:szCs w:val="20"/>
        </w:rPr>
      </w:pPr>
      <w:r>
        <w:rPr>
          <w:rFonts w:ascii="Bookman Old Style" w:hAnsi="Bookman Old Style"/>
          <w:b/>
          <w:sz w:val="20"/>
          <w:szCs w:val="20"/>
        </w:rPr>
        <w:t>“5.</w:t>
      </w:r>
      <w:r>
        <w:rPr>
          <w:rFonts w:ascii="Bookman Old Style" w:hAnsi="Bookman Old Style"/>
          <w:b/>
          <w:sz w:val="20"/>
          <w:szCs w:val="20"/>
        </w:rPr>
        <w:tab/>
        <w:t>That this Court did by its Order made on the 20</w:t>
      </w:r>
      <w:r w:rsidRPr="00753442">
        <w:rPr>
          <w:rFonts w:ascii="Bookman Old Style" w:hAnsi="Bookman Old Style"/>
          <w:b/>
          <w:sz w:val="20"/>
          <w:szCs w:val="20"/>
          <w:vertAlign w:val="superscript"/>
        </w:rPr>
        <w:t>th</w:t>
      </w:r>
      <w:r>
        <w:rPr>
          <w:rFonts w:ascii="Bookman Old Style" w:hAnsi="Bookman Old Style"/>
          <w:b/>
          <w:sz w:val="20"/>
          <w:szCs w:val="20"/>
        </w:rPr>
        <w:t xml:space="preserve"> October 2004 vary i</w:t>
      </w:r>
      <w:r w:rsidR="00204348">
        <w:rPr>
          <w:rFonts w:ascii="Bookman Old Style" w:hAnsi="Bookman Old Style"/>
          <w:b/>
          <w:sz w:val="20"/>
          <w:szCs w:val="20"/>
        </w:rPr>
        <w:t>t</w:t>
      </w:r>
      <w:r>
        <w:rPr>
          <w:rFonts w:ascii="Bookman Old Style" w:hAnsi="Bookman Old Style"/>
          <w:b/>
          <w:sz w:val="20"/>
          <w:szCs w:val="20"/>
        </w:rPr>
        <w:t>s earlier Order marked “GMK1” herein and came to vest all the assets in Bernard’s custody so that h</w:t>
      </w:r>
      <w:r w:rsidR="00204348">
        <w:rPr>
          <w:rFonts w:ascii="Bookman Old Style" w:hAnsi="Bookman Old Style"/>
          <w:b/>
          <w:sz w:val="20"/>
          <w:szCs w:val="20"/>
        </w:rPr>
        <w:t>e recovers in full the more than</w:t>
      </w:r>
      <w:r>
        <w:rPr>
          <w:rFonts w:ascii="Bookman Old Style" w:hAnsi="Bookman Old Style"/>
          <w:b/>
          <w:sz w:val="20"/>
          <w:szCs w:val="20"/>
        </w:rPr>
        <w:t xml:space="preserve"> two hundred million Kwacha (200,000,000) due to the secured creditor, Zambia National Commercial Bank PLC before he could surrender what remained of the assets to me and from which I was to satisfy claims of the unsecured creditors.</w:t>
      </w:r>
    </w:p>
    <w:p w:rsidR="0051482B" w:rsidRDefault="0051482B" w:rsidP="00753442">
      <w:pPr>
        <w:pStyle w:val="NoSpacing"/>
        <w:ind w:left="1440" w:hanging="720"/>
        <w:jc w:val="both"/>
        <w:rPr>
          <w:rFonts w:ascii="Bookman Old Style" w:hAnsi="Bookman Old Style"/>
          <w:b/>
          <w:sz w:val="20"/>
          <w:szCs w:val="20"/>
        </w:rPr>
      </w:pPr>
    </w:p>
    <w:p w:rsidR="0051482B" w:rsidRDefault="0051482B" w:rsidP="0051482B">
      <w:pPr>
        <w:pStyle w:val="NoSpacing"/>
        <w:numPr>
          <w:ilvl w:val="0"/>
          <w:numId w:val="4"/>
        </w:numPr>
        <w:jc w:val="both"/>
        <w:rPr>
          <w:rFonts w:ascii="Bookman Old Style" w:hAnsi="Bookman Old Style"/>
          <w:b/>
          <w:sz w:val="20"/>
          <w:szCs w:val="20"/>
        </w:rPr>
      </w:pPr>
      <w:r>
        <w:rPr>
          <w:rFonts w:ascii="Bookman Old Style" w:hAnsi="Bookman Old Style"/>
          <w:b/>
          <w:sz w:val="20"/>
          <w:szCs w:val="20"/>
        </w:rPr>
        <w:t>That the said Bernard Leigh Gadsden has sold assets of the Respondent Livingstone Mortor Assemblers Limited and collected a sum of over eight hundred million Kwacha (K800,000,000.00) but failed to pay the money to the Bank.  A copy of Bernard Leigh Gadsden’s statement to the bank confirming his collection of the money is produced and exhibited hereto marked “GMK3”</w:t>
      </w:r>
    </w:p>
    <w:p w:rsidR="0051482B" w:rsidRDefault="0051482B" w:rsidP="0051482B">
      <w:pPr>
        <w:pStyle w:val="NoSpacing"/>
        <w:jc w:val="both"/>
        <w:rPr>
          <w:rFonts w:ascii="Bookman Old Style" w:hAnsi="Bookman Old Style"/>
          <w:b/>
          <w:sz w:val="20"/>
          <w:szCs w:val="20"/>
        </w:rPr>
      </w:pPr>
    </w:p>
    <w:p w:rsidR="00630069" w:rsidRDefault="00630069" w:rsidP="00E23F29">
      <w:pPr>
        <w:pStyle w:val="NoSpacing"/>
        <w:numPr>
          <w:ilvl w:val="0"/>
          <w:numId w:val="4"/>
        </w:numPr>
        <w:jc w:val="both"/>
        <w:rPr>
          <w:rFonts w:ascii="Bookman Old Style" w:hAnsi="Bookman Old Style"/>
          <w:b/>
          <w:sz w:val="20"/>
          <w:szCs w:val="20"/>
        </w:rPr>
      </w:pPr>
      <w:r>
        <w:rPr>
          <w:rFonts w:ascii="Bookman Old Style" w:hAnsi="Bookman Old Style"/>
          <w:b/>
          <w:sz w:val="20"/>
          <w:szCs w:val="20"/>
        </w:rPr>
        <w:t>That by reason of Berna</w:t>
      </w:r>
      <w:r w:rsidR="0051482B">
        <w:rPr>
          <w:rFonts w:ascii="Bookman Old Style" w:hAnsi="Bookman Old Style"/>
          <w:b/>
          <w:sz w:val="20"/>
          <w:szCs w:val="20"/>
        </w:rPr>
        <w:t xml:space="preserve">rd Leigh </w:t>
      </w:r>
      <w:r w:rsidR="00BE62ED">
        <w:rPr>
          <w:rFonts w:ascii="Bookman Old Style" w:hAnsi="Bookman Old Style"/>
          <w:b/>
          <w:sz w:val="20"/>
          <w:szCs w:val="20"/>
        </w:rPr>
        <w:t>Gadsden’s</w:t>
      </w:r>
      <w:r w:rsidR="0051482B">
        <w:rPr>
          <w:rFonts w:ascii="Bookman Old Style" w:hAnsi="Bookman Old Style"/>
          <w:b/>
          <w:sz w:val="20"/>
          <w:szCs w:val="20"/>
        </w:rPr>
        <w:t xml:space="preserve"> failure to pay the money to the Bank, the Bank has now written to </w:t>
      </w:r>
      <w:r w:rsidR="0051482B" w:rsidRPr="00630069">
        <w:rPr>
          <w:rFonts w:ascii="Bookman Old Style" w:hAnsi="Bookman Old Style"/>
          <w:b/>
          <w:sz w:val="20"/>
          <w:szCs w:val="20"/>
          <w:u w:val="single"/>
        </w:rPr>
        <w:t>me</w:t>
      </w:r>
      <w:r w:rsidRPr="00630069">
        <w:rPr>
          <w:rFonts w:ascii="Bookman Old Style" w:hAnsi="Bookman Old Style"/>
          <w:b/>
          <w:sz w:val="20"/>
          <w:szCs w:val="20"/>
        </w:rPr>
        <w:t xml:space="preserve"> </w:t>
      </w:r>
      <w:r w:rsidR="0051482B">
        <w:rPr>
          <w:rFonts w:ascii="Bookman Old Style" w:hAnsi="Bookman Old Style"/>
          <w:b/>
          <w:sz w:val="20"/>
          <w:szCs w:val="20"/>
        </w:rPr>
        <w:t>to demand that no payment should be made to the other unsecured creditors unless the Bank receives its eight hundred million Kwacha (K800,000,000.00)</w:t>
      </w:r>
      <w:r>
        <w:rPr>
          <w:rFonts w:ascii="Bookman Old Style" w:hAnsi="Bookman Old Style"/>
          <w:b/>
          <w:sz w:val="20"/>
          <w:szCs w:val="20"/>
        </w:rPr>
        <w:t>.  Copy of the demand letter from the Bank insisting on the payment of the eight hundred million Kwacha (K800,000,000.00) is produced and exhibited hereto marked “GMK4”.</w:t>
      </w:r>
    </w:p>
    <w:p w:rsidR="00E23F29" w:rsidRPr="00E23F29" w:rsidRDefault="00E23F29" w:rsidP="00E23F29">
      <w:pPr>
        <w:pStyle w:val="NoSpacing"/>
        <w:jc w:val="both"/>
        <w:rPr>
          <w:rFonts w:ascii="Bookman Old Style" w:hAnsi="Bookman Old Style"/>
          <w:b/>
          <w:sz w:val="20"/>
          <w:szCs w:val="20"/>
        </w:rPr>
      </w:pPr>
    </w:p>
    <w:p w:rsidR="00630069" w:rsidRDefault="00630069" w:rsidP="00E23F29">
      <w:pPr>
        <w:pStyle w:val="NoSpacing"/>
        <w:numPr>
          <w:ilvl w:val="0"/>
          <w:numId w:val="4"/>
        </w:numPr>
        <w:jc w:val="both"/>
        <w:rPr>
          <w:rFonts w:ascii="Bookman Old Style" w:hAnsi="Bookman Old Style"/>
          <w:b/>
          <w:sz w:val="20"/>
          <w:szCs w:val="20"/>
        </w:rPr>
      </w:pPr>
      <w:r>
        <w:rPr>
          <w:rFonts w:ascii="Bookman Old Style" w:hAnsi="Bookman Old Style"/>
          <w:b/>
          <w:sz w:val="20"/>
          <w:szCs w:val="20"/>
        </w:rPr>
        <w:t>That it is quite clear from the aforementioned that Bernard Leigh Gadsden has gone against the Order given by this Court in taking care of the interests of the secured creditor, Zambia National Commercial Bank PLC.</w:t>
      </w:r>
    </w:p>
    <w:p w:rsidR="00E23F29" w:rsidRPr="00E23F29" w:rsidRDefault="00E23F29" w:rsidP="00E23F29">
      <w:pPr>
        <w:pStyle w:val="NoSpacing"/>
        <w:jc w:val="both"/>
        <w:rPr>
          <w:rFonts w:ascii="Bookman Old Style" w:hAnsi="Bookman Old Style"/>
          <w:b/>
          <w:sz w:val="20"/>
          <w:szCs w:val="20"/>
        </w:rPr>
      </w:pPr>
    </w:p>
    <w:p w:rsidR="005245F1" w:rsidRDefault="00630069" w:rsidP="00E23F29">
      <w:pPr>
        <w:pStyle w:val="NoSpacing"/>
        <w:numPr>
          <w:ilvl w:val="0"/>
          <w:numId w:val="4"/>
        </w:numPr>
        <w:jc w:val="both"/>
        <w:rPr>
          <w:rFonts w:ascii="Bookman Old Style" w:hAnsi="Bookman Old Style"/>
          <w:b/>
          <w:sz w:val="20"/>
          <w:szCs w:val="20"/>
        </w:rPr>
      </w:pPr>
      <w:r>
        <w:rPr>
          <w:rFonts w:ascii="Bookman Old Style" w:hAnsi="Bookman Old Style"/>
          <w:b/>
          <w:sz w:val="20"/>
          <w:szCs w:val="20"/>
        </w:rPr>
        <w:t>That there is only one remaining asset of the Respondent Company which is Plot No. 2617, Livingstone and if this asset continues to vest in Bernard Leigh Gadsden he will sell it to the detriment of all the unsecured creditors who have waited patiently since 1995 for Bernard Leigh Gadsden to pay off the Bank.</w:t>
      </w:r>
    </w:p>
    <w:p w:rsidR="00E23F29" w:rsidRPr="00E23F29" w:rsidRDefault="00E23F29" w:rsidP="00E23F29">
      <w:pPr>
        <w:pStyle w:val="NoSpacing"/>
        <w:jc w:val="both"/>
        <w:rPr>
          <w:rFonts w:ascii="Bookman Old Style" w:hAnsi="Bookman Old Style"/>
          <w:b/>
          <w:sz w:val="20"/>
          <w:szCs w:val="20"/>
        </w:rPr>
      </w:pPr>
    </w:p>
    <w:p w:rsidR="005245F1" w:rsidRDefault="005245F1" w:rsidP="00E23F29">
      <w:pPr>
        <w:pStyle w:val="NoSpacing"/>
        <w:numPr>
          <w:ilvl w:val="0"/>
          <w:numId w:val="4"/>
        </w:numPr>
        <w:jc w:val="both"/>
        <w:rPr>
          <w:rFonts w:ascii="Bookman Old Style" w:hAnsi="Bookman Old Style"/>
          <w:b/>
          <w:sz w:val="20"/>
          <w:szCs w:val="20"/>
        </w:rPr>
      </w:pPr>
      <w:r>
        <w:rPr>
          <w:rFonts w:ascii="Bookman Old Style" w:hAnsi="Bookman Old Style"/>
          <w:b/>
          <w:sz w:val="20"/>
          <w:szCs w:val="20"/>
        </w:rPr>
        <w:t>That in the premises it has become necessary to review the earlier Order of the 20</w:t>
      </w:r>
      <w:r w:rsidRPr="005245F1">
        <w:rPr>
          <w:rFonts w:ascii="Bookman Old Style" w:hAnsi="Bookman Old Style"/>
          <w:b/>
          <w:sz w:val="20"/>
          <w:szCs w:val="20"/>
          <w:vertAlign w:val="superscript"/>
        </w:rPr>
        <w:t>th</w:t>
      </w:r>
      <w:r>
        <w:rPr>
          <w:rFonts w:ascii="Bookman Old Style" w:hAnsi="Bookman Old Style"/>
          <w:b/>
          <w:sz w:val="20"/>
          <w:szCs w:val="20"/>
        </w:rPr>
        <w:t xml:space="preserve"> October 1995 that gave Bernard Leigh Gadsden sole custody of the assets of Livingstone Motor Assemblers Limited.</w:t>
      </w:r>
    </w:p>
    <w:p w:rsidR="00E23F29" w:rsidRPr="00E23F29" w:rsidRDefault="00E23F29" w:rsidP="00E23F29">
      <w:pPr>
        <w:pStyle w:val="NoSpacing"/>
        <w:jc w:val="both"/>
        <w:rPr>
          <w:rFonts w:ascii="Bookman Old Style" w:hAnsi="Bookman Old Style"/>
          <w:b/>
          <w:sz w:val="20"/>
          <w:szCs w:val="20"/>
        </w:rPr>
      </w:pPr>
    </w:p>
    <w:p w:rsidR="00CF4BD7" w:rsidRDefault="005245F1" w:rsidP="00E23F29">
      <w:pPr>
        <w:pStyle w:val="NoSpacing"/>
        <w:numPr>
          <w:ilvl w:val="0"/>
          <w:numId w:val="4"/>
        </w:numPr>
        <w:jc w:val="both"/>
        <w:rPr>
          <w:rFonts w:ascii="Bookman Old Style" w:hAnsi="Bookman Old Style"/>
          <w:b/>
          <w:sz w:val="20"/>
          <w:szCs w:val="20"/>
        </w:rPr>
      </w:pPr>
      <w:r>
        <w:rPr>
          <w:rFonts w:ascii="Bookman Old Style" w:hAnsi="Bookman Old Style"/>
          <w:b/>
          <w:sz w:val="20"/>
          <w:szCs w:val="20"/>
        </w:rPr>
        <w:t>That I crave this honourable Court to review its Order of the 20</w:t>
      </w:r>
      <w:r w:rsidRPr="005245F1">
        <w:rPr>
          <w:rFonts w:ascii="Bookman Old Style" w:hAnsi="Bookman Old Style"/>
          <w:b/>
          <w:sz w:val="20"/>
          <w:szCs w:val="20"/>
          <w:vertAlign w:val="superscript"/>
        </w:rPr>
        <w:t>th</w:t>
      </w:r>
      <w:r>
        <w:rPr>
          <w:rFonts w:ascii="Bookman Old Style" w:hAnsi="Bookman Old Style"/>
          <w:b/>
          <w:sz w:val="20"/>
          <w:szCs w:val="20"/>
        </w:rPr>
        <w:t xml:space="preserve"> October 1995 which gave sole custody of the assets of the Respondent Company to Bernard Leigh Gadsden.”</w:t>
      </w:r>
    </w:p>
    <w:p w:rsidR="00E23F29" w:rsidRPr="00E23F29" w:rsidRDefault="00E23F29" w:rsidP="00E23F29">
      <w:pPr>
        <w:pStyle w:val="NoSpacing"/>
        <w:jc w:val="both"/>
        <w:rPr>
          <w:rFonts w:ascii="Bookman Old Style" w:hAnsi="Bookman Old Style"/>
          <w:b/>
          <w:sz w:val="20"/>
          <w:szCs w:val="20"/>
        </w:rPr>
      </w:pPr>
    </w:p>
    <w:p w:rsidR="00E23F29" w:rsidRDefault="0051482B" w:rsidP="00CF4BD7">
      <w:pPr>
        <w:pStyle w:val="NoSpacing"/>
        <w:spacing w:line="480" w:lineRule="auto"/>
        <w:ind w:firstLine="720"/>
        <w:jc w:val="both"/>
        <w:rPr>
          <w:rFonts w:ascii="Bookman Old Style" w:hAnsi="Bookman Old Style"/>
          <w:sz w:val="28"/>
          <w:szCs w:val="28"/>
        </w:rPr>
      </w:pPr>
      <w:r>
        <w:rPr>
          <w:rFonts w:ascii="Bookman Old Style" w:hAnsi="Bookman Old Style"/>
          <w:b/>
          <w:sz w:val="20"/>
          <w:szCs w:val="20"/>
        </w:rPr>
        <w:t xml:space="preserve"> </w:t>
      </w:r>
      <w:r w:rsidR="00A00E71" w:rsidRPr="00A00E71">
        <w:rPr>
          <w:rFonts w:ascii="Bookman Old Style" w:hAnsi="Bookman Old Style"/>
          <w:sz w:val="28"/>
          <w:szCs w:val="28"/>
        </w:rPr>
        <w:t>Meanwhile</w:t>
      </w:r>
      <w:r w:rsidR="00A00E71">
        <w:rPr>
          <w:rFonts w:ascii="Bookman Old Style" w:hAnsi="Bookman Old Style"/>
          <w:sz w:val="28"/>
          <w:szCs w:val="28"/>
        </w:rPr>
        <w:t xml:space="preserve"> the Petitioners had </w:t>
      </w:r>
      <w:r w:rsidR="00706F64">
        <w:rPr>
          <w:rFonts w:ascii="Bookman Old Style" w:hAnsi="Bookman Old Style"/>
          <w:sz w:val="28"/>
          <w:szCs w:val="28"/>
        </w:rPr>
        <w:t xml:space="preserve">applied for contempt of Court proceedings against the </w:t>
      </w:r>
      <w:r w:rsidR="003036D7">
        <w:rPr>
          <w:rFonts w:ascii="Bookman Old Style" w:hAnsi="Bookman Old Style"/>
          <w:sz w:val="28"/>
          <w:szCs w:val="28"/>
        </w:rPr>
        <w:t>r</w:t>
      </w:r>
      <w:r w:rsidR="00706F64">
        <w:rPr>
          <w:rFonts w:ascii="Bookman Old Style" w:hAnsi="Bookman Old Style"/>
          <w:sz w:val="28"/>
          <w:szCs w:val="28"/>
        </w:rPr>
        <w:t>eceiver/</w:t>
      </w:r>
      <w:r w:rsidR="003036D7">
        <w:rPr>
          <w:rFonts w:ascii="Bookman Old Style" w:hAnsi="Bookman Old Style"/>
          <w:sz w:val="28"/>
          <w:szCs w:val="28"/>
        </w:rPr>
        <w:t>m</w:t>
      </w:r>
      <w:r w:rsidR="00706F64">
        <w:rPr>
          <w:rFonts w:ascii="Bookman Old Style" w:hAnsi="Bookman Old Style"/>
          <w:sz w:val="28"/>
          <w:szCs w:val="28"/>
        </w:rPr>
        <w:t>anager</w:t>
      </w:r>
      <w:r w:rsidR="00A00E71">
        <w:rPr>
          <w:rFonts w:ascii="Bookman Old Style" w:hAnsi="Bookman Old Style"/>
          <w:sz w:val="28"/>
          <w:szCs w:val="28"/>
        </w:rPr>
        <w:t>.   They were given the</w:t>
      </w:r>
      <w:r w:rsidR="00706F64">
        <w:rPr>
          <w:rFonts w:ascii="Bookman Old Style" w:hAnsi="Bookman Old Style"/>
          <w:sz w:val="28"/>
          <w:szCs w:val="28"/>
        </w:rPr>
        <w:t xml:space="preserve"> </w:t>
      </w:r>
    </w:p>
    <w:p w:rsidR="00E23F29" w:rsidRDefault="00E23F29" w:rsidP="00E23F29">
      <w:pPr>
        <w:pStyle w:val="NoSpacing"/>
        <w:spacing w:line="480" w:lineRule="auto"/>
        <w:jc w:val="both"/>
        <w:rPr>
          <w:rFonts w:ascii="Bookman Old Style" w:hAnsi="Bookman Old Style"/>
          <w:sz w:val="28"/>
          <w:szCs w:val="28"/>
        </w:rPr>
      </w:pPr>
    </w:p>
    <w:p w:rsidR="00E23F29" w:rsidRDefault="00E23F29" w:rsidP="00E23F29">
      <w:pPr>
        <w:pStyle w:val="NoSpacing"/>
        <w:spacing w:line="480" w:lineRule="auto"/>
        <w:jc w:val="right"/>
        <w:rPr>
          <w:rFonts w:ascii="Bookman Old Style" w:hAnsi="Bookman Old Style"/>
          <w:sz w:val="28"/>
          <w:szCs w:val="28"/>
        </w:rPr>
      </w:pPr>
      <w:r>
        <w:rPr>
          <w:rFonts w:ascii="Bookman Old Style" w:hAnsi="Bookman Old Style"/>
          <w:sz w:val="28"/>
          <w:szCs w:val="28"/>
        </w:rPr>
        <w:lastRenderedPageBreak/>
        <w:t>4</w:t>
      </w:r>
    </w:p>
    <w:p w:rsidR="00A443D4" w:rsidRPr="00A00E71" w:rsidRDefault="00706F64" w:rsidP="00E23F29">
      <w:pPr>
        <w:pStyle w:val="NoSpacing"/>
        <w:spacing w:line="480" w:lineRule="auto"/>
        <w:jc w:val="both"/>
        <w:rPr>
          <w:rFonts w:ascii="Bookman Old Style" w:hAnsi="Bookman Old Style"/>
          <w:b/>
          <w:sz w:val="20"/>
          <w:szCs w:val="20"/>
        </w:rPr>
      </w:pPr>
      <w:r>
        <w:rPr>
          <w:rFonts w:ascii="Bookman Old Style" w:hAnsi="Bookman Old Style"/>
          <w:sz w:val="28"/>
          <w:szCs w:val="28"/>
        </w:rPr>
        <w:t>return date of 20</w:t>
      </w:r>
      <w:r w:rsidRPr="00706F64">
        <w:rPr>
          <w:rFonts w:ascii="Bookman Old Style" w:hAnsi="Bookman Old Style"/>
          <w:sz w:val="28"/>
          <w:szCs w:val="28"/>
          <w:vertAlign w:val="superscript"/>
        </w:rPr>
        <w:t>th</w:t>
      </w:r>
      <w:r>
        <w:rPr>
          <w:rFonts w:ascii="Bookman Old Style" w:hAnsi="Bookman Old Style"/>
          <w:sz w:val="28"/>
          <w:szCs w:val="28"/>
        </w:rPr>
        <w:t xml:space="preserve"> October 1995 but before the summons could be heard, the parties</w:t>
      </w:r>
      <w:r w:rsidR="00A443D4">
        <w:rPr>
          <w:rFonts w:ascii="Bookman Old Style" w:hAnsi="Bookman Old Style"/>
          <w:sz w:val="28"/>
          <w:szCs w:val="28"/>
        </w:rPr>
        <w:t xml:space="preserve"> came up with a</w:t>
      </w:r>
      <w:r>
        <w:rPr>
          <w:rFonts w:ascii="Bookman Old Style" w:hAnsi="Bookman Old Style"/>
          <w:sz w:val="28"/>
          <w:szCs w:val="28"/>
        </w:rPr>
        <w:t xml:space="preserve"> Consent Order which stated</w:t>
      </w:r>
      <w:r w:rsidR="00A443D4">
        <w:rPr>
          <w:rFonts w:ascii="Bookman Old Style" w:hAnsi="Bookman Old Style"/>
          <w:sz w:val="28"/>
          <w:szCs w:val="28"/>
        </w:rPr>
        <w:t>:</w:t>
      </w:r>
      <w:r w:rsidR="00203C84" w:rsidRPr="00BF5595">
        <w:rPr>
          <w:rFonts w:ascii="Bookman Old Style" w:hAnsi="Bookman Old Style"/>
          <w:sz w:val="28"/>
          <w:szCs w:val="28"/>
        </w:rPr>
        <w:t xml:space="preserve">  </w:t>
      </w:r>
    </w:p>
    <w:p w:rsidR="00A443D4" w:rsidRDefault="00A443D4" w:rsidP="00A443D4">
      <w:pPr>
        <w:pStyle w:val="NoSpacing"/>
        <w:ind w:left="1440" w:hanging="720"/>
        <w:jc w:val="both"/>
        <w:rPr>
          <w:rFonts w:ascii="Bookman Old Style" w:hAnsi="Bookman Old Style"/>
          <w:sz w:val="28"/>
          <w:szCs w:val="28"/>
        </w:rPr>
      </w:pPr>
      <w:r>
        <w:rPr>
          <w:rFonts w:ascii="Bookman Old Style" w:hAnsi="Bookman Old Style"/>
          <w:b/>
        </w:rPr>
        <w:t>“1.</w:t>
      </w:r>
      <w:r>
        <w:rPr>
          <w:rFonts w:ascii="Bookman Old Style" w:hAnsi="Bookman Old Style"/>
          <w:b/>
        </w:rPr>
        <w:tab/>
        <w:t>That while the winding-up stays in place, the receiver and manager for the Zambia National Commercial Bank Limited continues with the receivership until completion.</w:t>
      </w:r>
      <w:r w:rsidR="00203C84" w:rsidRPr="00BF5595">
        <w:rPr>
          <w:rFonts w:ascii="Bookman Old Style" w:hAnsi="Bookman Old Style"/>
          <w:sz w:val="28"/>
          <w:szCs w:val="28"/>
        </w:rPr>
        <w:t xml:space="preserve"> </w:t>
      </w:r>
    </w:p>
    <w:p w:rsidR="00A443D4" w:rsidRDefault="00A443D4" w:rsidP="00A443D4">
      <w:pPr>
        <w:pStyle w:val="NoSpacing"/>
        <w:ind w:left="1440" w:hanging="720"/>
        <w:jc w:val="both"/>
        <w:rPr>
          <w:rFonts w:ascii="Bookman Old Style" w:hAnsi="Bookman Old Style"/>
          <w:sz w:val="28"/>
          <w:szCs w:val="28"/>
        </w:rPr>
      </w:pPr>
    </w:p>
    <w:p w:rsidR="00A443D4" w:rsidRDefault="00A443D4" w:rsidP="00A443D4">
      <w:pPr>
        <w:pStyle w:val="NoSpacing"/>
        <w:ind w:left="1440" w:hanging="720"/>
        <w:jc w:val="both"/>
        <w:rPr>
          <w:rFonts w:ascii="Bookman Old Style" w:hAnsi="Bookman Old Style"/>
          <w:b/>
        </w:rPr>
      </w:pPr>
      <w:r>
        <w:rPr>
          <w:rFonts w:ascii="Bookman Old Style" w:hAnsi="Bookman Old Style"/>
          <w:b/>
        </w:rPr>
        <w:t>2.</w:t>
      </w:r>
      <w:r>
        <w:rPr>
          <w:rFonts w:ascii="Bookman Old Style" w:hAnsi="Bookman Old Style"/>
          <w:b/>
        </w:rPr>
        <w:tab/>
        <w:t>That Messrs Kangwa Sombe and Company be sole liquidators to whom the receiver will be handing over his assignment.</w:t>
      </w:r>
    </w:p>
    <w:p w:rsidR="00A443D4" w:rsidRDefault="00A443D4" w:rsidP="00A443D4">
      <w:pPr>
        <w:pStyle w:val="NoSpacing"/>
        <w:ind w:left="1440" w:hanging="720"/>
        <w:jc w:val="both"/>
        <w:rPr>
          <w:rFonts w:ascii="Bookman Old Style" w:hAnsi="Bookman Old Style"/>
          <w:b/>
        </w:rPr>
      </w:pPr>
    </w:p>
    <w:p w:rsidR="00A443D4" w:rsidRDefault="00A443D4" w:rsidP="00A443D4">
      <w:pPr>
        <w:pStyle w:val="NoSpacing"/>
        <w:ind w:left="1440" w:hanging="720"/>
        <w:jc w:val="both"/>
        <w:rPr>
          <w:rFonts w:ascii="Bookman Old Style" w:hAnsi="Bookman Old Style"/>
          <w:b/>
        </w:rPr>
      </w:pPr>
      <w:r>
        <w:rPr>
          <w:rFonts w:ascii="Bookman Old Style" w:hAnsi="Bookman Old Style"/>
          <w:b/>
        </w:rPr>
        <w:t>3.</w:t>
      </w:r>
      <w:r>
        <w:rPr>
          <w:rFonts w:ascii="Bookman Old Style" w:hAnsi="Bookman Old Style"/>
          <w:b/>
        </w:rPr>
        <w:tab/>
        <w:t>That the receiver and manager for the Bank furnishes his returns to the Registrar of Companies and Messrs Kangwa Sombe and Company.</w:t>
      </w:r>
    </w:p>
    <w:p w:rsidR="00A443D4" w:rsidRDefault="00A443D4" w:rsidP="00A443D4">
      <w:pPr>
        <w:pStyle w:val="NoSpacing"/>
        <w:ind w:left="1440" w:hanging="720"/>
        <w:jc w:val="both"/>
        <w:rPr>
          <w:rFonts w:ascii="Bookman Old Style" w:hAnsi="Bookman Old Style"/>
          <w:b/>
        </w:rPr>
      </w:pPr>
    </w:p>
    <w:p w:rsidR="00A443D4" w:rsidRDefault="00A443D4" w:rsidP="003036D7">
      <w:pPr>
        <w:pStyle w:val="NoSpacing"/>
        <w:ind w:left="1440" w:hanging="720"/>
        <w:jc w:val="both"/>
        <w:rPr>
          <w:rFonts w:ascii="Bookman Old Style" w:hAnsi="Bookman Old Style"/>
          <w:b/>
        </w:rPr>
      </w:pPr>
      <w:r>
        <w:rPr>
          <w:rFonts w:ascii="Bookman Old Style" w:hAnsi="Bookman Old Style"/>
          <w:b/>
        </w:rPr>
        <w:t>4.</w:t>
      </w:r>
      <w:r>
        <w:rPr>
          <w:rFonts w:ascii="Bookman Old Style" w:hAnsi="Bookman Old Style"/>
          <w:b/>
        </w:rPr>
        <w:tab/>
        <w:t>That the receiver and manager for the Bank be excluded from being a joint liquidator to avoid conflict of interests.”</w:t>
      </w:r>
    </w:p>
    <w:p w:rsidR="003036D7" w:rsidRPr="003036D7" w:rsidRDefault="003036D7" w:rsidP="003036D7">
      <w:pPr>
        <w:pStyle w:val="NoSpacing"/>
        <w:ind w:left="1440" w:hanging="720"/>
        <w:jc w:val="both"/>
        <w:rPr>
          <w:rFonts w:ascii="Bookman Old Style" w:hAnsi="Bookman Old Style"/>
          <w:b/>
        </w:rPr>
      </w:pPr>
    </w:p>
    <w:p w:rsidR="006F78F9" w:rsidRDefault="003036D7" w:rsidP="00A443D4">
      <w:pPr>
        <w:pStyle w:val="NoSpacing"/>
        <w:spacing w:line="480" w:lineRule="auto"/>
        <w:jc w:val="both"/>
        <w:rPr>
          <w:rFonts w:ascii="Bookman Old Style" w:hAnsi="Bookman Old Style"/>
          <w:sz w:val="28"/>
          <w:szCs w:val="28"/>
        </w:rPr>
      </w:pPr>
      <w:r>
        <w:rPr>
          <w:rFonts w:ascii="Bookman Old Style" w:hAnsi="Bookman Old Style"/>
          <w:sz w:val="28"/>
          <w:szCs w:val="28"/>
        </w:rPr>
        <w:tab/>
        <w:t xml:space="preserve"> Upon considering</w:t>
      </w:r>
      <w:r w:rsidR="006F78F9">
        <w:rPr>
          <w:rFonts w:ascii="Bookman Old Style" w:hAnsi="Bookman Old Style"/>
          <w:sz w:val="28"/>
          <w:szCs w:val="28"/>
        </w:rPr>
        <w:t xml:space="preserve"> the application for review, </w:t>
      </w:r>
      <w:r>
        <w:rPr>
          <w:rFonts w:ascii="Bookman Old Style" w:hAnsi="Bookman Old Style"/>
          <w:sz w:val="28"/>
          <w:szCs w:val="28"/>
        </w:rPr>
        <w:t>t</w:t>
      </w:r>
      <w:r w:rsidR="006F78F9">
        <w:rPr>
          <w:rFonts w:ascii="Bookman Old Style" w:hAnsi="Bookman Old Style"/>
          <w:sz w:val="28"/>
          <w:szCs w:val="28"/>
        </w:rPr>
        <w:t>he</w:t>
      </w:r>
      <w:r>
        <w:rPr>
          <w:rFonts w:ascii="Bookman Old Style" w:hAnsi="Bookman Old Style"/>
          <w:sz w:val="28"/>
          <w:szCs w:val="28"/>
        </w:rPr>
        <w:t xml:space="preserve"> </w:t>
      </w:r>
      <w:r w:rsidR="00E1060C">
        <w:rPr>
          <w:rFonts w:ascii="Bookman Old Style" w:hAnsi="Bookman Old Style"/>
          <w:sz w:val="28"/>
          <w:szCs w:val="28"/>
        </w:rPr>
        <w:t>Judge was of the view that it</w:t>
      </w:r>
      <w:r w:rsidR="006F78F9">
        <w:rPr>
          <w:rFonts w:ascii="Bookman Old Style" w:hAnsi="Bookman Old Style"/>
          <w:sz w:val="28"/>
          <w:szCs w:val="28"/>
        </w:rPr>
        <w:t xml:space="preserve"> was not necessary because the Orders that were given on 20</w:t>
      </w:r>
      <w:r w:rsidR="006F78F9" w:rsidRPr="006F78F9">
        <w:rPr>
          <w:rFonts w:ascii="Bookman Old Style" w:hAnsi="Bookman Old Style"/>
          <w:sz w:val="28"/>
          <w:szCs w:val="28"/>
          <w:vertAlign w:val="superscript"/>
        </w:rPr>
        <w:t>th</w:t>
      </w:r>
      <w:r w:rsidR="006F78F9">
        <w:rPr>
          <w:rFonts w:ascii="Bookman Old Style" w:hAnsi="Bookman Old Style"/>
          <w:sz w:val="28"/>
          <w:szCs w:val="28"/>
        </w:rPr>
        <w:t xml:space="preserve"> October 1995 were couched </w:t>
      </w:r>
      <w:r w:rsidR="00690339">
        <w:rPr>
          <w:rFonts w:ascii="Bookman Old Style" w:hAnsi="Bookman Old Style"/>
          <w:sz w:val="28"/>
          <w:szCs w:val="28"/>
        </w:rPr>
        <w:t>in very clear language.  According to the Judge, the bone of contention was the first Order which stated that the receiver/manager was to continue with the receivership until completion.  He opined that this Order did not make the receiver/man</w:t>
      </w:r>
      <w:r w:rsidR="001153A9">
        <w:rPr>
          <w:rFonts w:ascii="Bookman Old Style" w:hAnsi="Bookman Old Style"/>
          <w:sz w:val="28"/>
          <w:szCs w:val="28"/>
        </w:rPr>
        <w:t>ager to be a liquidator.  He referred</w:t>
      </w:r>
      <w:r w:rsidR="00690339">
        <w:rPr>
          <w:rFonts w:ascii="Bookman Old Style" w:hAnsi="Bookman Old Style"/>
          <w:sz w:val="28"/>
          <w:szCs w:val="28"/>
        </w:rPr>
        <w:t xml:space="preserve"> to Section 286(1) of the Companies Act which states as follows:</w:t>
      </w:r>
    </w:p>
    <w:p w:rsidR="00CF4BD7" w:rsidRDefault="005C3026" w:rsidP="005C3026">
      <w:pPr>
        <w:pStyle w:val="NoSpacing"/>
        <w:ind w:left="720"/>
        <w:jc w:val="both"/>
        <w:rPr>
          <w:rFonts w:ascii="Bookman Old Style" w:hAnsi="Bookman Old Style"/>
          <w:b/>
        </w:rPr>
      </w:pPr>
      <w:r>
        <w:rPr>
          <w:rFonts w:ascii="Bookman Old Style" w:hAnsi="Bookman Old Style"/>
        </w:rPr>
        <w:t>“</w:t>
      </w:r>
      <w:r w:rsidRPr="005C3026">
        <w:rPr>
          <w:rFonts w:ascii="Bookman Old Style" w:hAnsi="Bookman Old Style"/>
          <w:b/>
        </w:rPr>
        <w:t xml:space="preserve">Where a winding-up order has been made or provisional liquidator has been appointed, the liquidator or provisional liquidator shall take into his </w:t>
      </w:r>
    </w:p>
    <w:p w:rsidR="00DE19AF" w:rsidRDefault="005C3026" w:rsidP="00E23F29">
      <w:pPr>
        <w:pStyle w:val="NoSpacing"/>
        <w:ind w:left="720"/>
        <w:jc w:val="both"/>
        <w:rPr>
          <w:rFonts w:ascii="Bookman Old Style" w:hAnsi="Bookman Old Style"/>
          <w:b/>
        </w:rPr>
      </w:pPr>
      <w:r w:rsidRPr="005C3026">
        <w:rPr>
          <w:rFonts w:ascii="Bookman Old Style" w:hAnsi="Bookman Old Style"/>
          <w:b/>
        </w:rPr>
        <w:t>custody or under his control al</w:t>
      </w:r>
      <w:r>
        <w:rPr>
          <w:rFonts w:ascii="Bookman Old Style" w:hAnsi="Bookman Old Style"/>
          <w:b/>
        </w:rPr>
        <w:t>l</w:t>
      </w:r>
      <w:r w:rsidRPr="005C3026">
        <w:rPr>
          <w:rFonts w:ascii="Bookman Old Style" w:hAnsi="Bookman Old Style"/>
          <w:b/>
        </w:rPr>
        <w:t xml:space="preserve"> the property and things in action to which the Company is or appears to be entitled.”</w:t>
      </w:r>
    </w:p>
    <w:p w:rsidR="00E23F29" w:rsidRDefault="00E23F29" w:rsidP="008B4C9E">
      <w:pPr>
        <w:pStyle w:val="NoSpacing"/>
        <w:spacing w:line="480" w:lineRule="auto"/>
        <w:jc w:val="both"/>
        <w:rPr>
          <w:rFonts w:ascii="Bookman Old Style" w:hAnsi="Bookman Old Style"/>
          <w:b/>
        </w:rPr>
      </w:pPr>
    </w:p>
    <w:p w:rsidR="00E23F29" w:rsidRDefault="00E23F29" w:rsidP="008B4C9E">
      <w:pPr>
        <w:pStyle w:val="NoSpacing"/>
        <w:spacing w:line="480" w:lineRule="auto"/>
        <w:jc w:val="both"/>
        <w:rPr>
          <w:rFonts w:ascii="Bookman Old Style" w:hAnsi="Bookman Old Style"/>
          <w:b/>
        </w:rPr>
      </w:pPr>
    </w:p>
    <w:p w:rsidR="00E23F29" w:rsidRPr="00E23F29" w:rsidRDefault="00E23F29" w:rsidP="00E23F29">
      <w:pPr>
        <w:pStyle w:val="NoSpacing"/>
        <w:spacing w:line="480" w:lineRule="auto"/>
        <w:jc w:val="right"/>
        <w:rPr>
          <w:rFonts w:ascii="Bookman Old Style" w:hAnsi="Bookman Old Style"/>
          <w:b/>
          <w:sz w:val="28"/>
          <w:szCs w:val="28"/>
        </w:rPr>
      </w:pPr>
      <w:r>
        <w:rPr>
          <w:rFonts w:ascii="Bookman Old Style" w:hAnsi="Bookman Old Style"/>
          <w:b/>
          <w:sz w:val="28"/>
          <w:szCs w:val="28"/>
        </w:rPr>
        <w:lastRenderedPageBreak/>
        <w:t>5</w:t>
      </w:r>
    </w:p>
    <w:p w:rsidR="008B4C9E" w:rsidRPr="007B6DAB" w:rsidRDefault="00396AB0" w:rsidP="008B4C9E">
      <w:pPr>
        <w:pStyle w:val="NoSpacing"/>
        <w:spacing w:line="480" w:lineRule="auto"/>
        <w:jc w:val="both"/>
        <w:rPr>
          <w:rFonts w:ascii="Bookman Old Style" w:hAnsi="Bookman Old Style"/>
          <w:b/>
          <w:i/>
          <w:sz w:val="28"/>
          <w:szCs w:val="28"/>
        </w:rPr>
      </w:pPr>
      <w:r>
        <w:rPr>
          <w:rFonts w:ascii="Bookman Old Style" w:hAnsi="Bookman Old Style"/>
          <w:sz w:val="28"/>
          <w:szCs w:val="28"/>
        </w:rPr>
        <w:t xml:space="preserve">According to the Judge, </w:t>
      </w:r>
      <w:r w:rsidRPr="00396AB0">
        <w:rPr>
          <w:rFonts w:ascii="Bookman Old Style" w:hAnsi="Bookman Old Style"/>
          <w:b/>
          <w:i/>
          <w:sz w:val="28"/>
          <w:szCs w:val="28"/>
        </w:rPr>
        <w:t xml:space="preserve">“it is clear from this piece of legislation </w:t>
      </w:r>
      <w:r w:rsidR="00E34ACD" w:rsidRPr="00396AB0">
        <w:rPr>
          <w:rFonts w:ascii="Bookman Old Style" w:hAnsi="Bookman Old Style"/>
          <w:b/>
          <w:i/>
          <w:sz w:val="28"/>
          <w:szCs w:val="28"/>
        </w:rPr>
        <w:t>that the control of asset</w:t>
      </w:r>
      <w:r w:rsidRPr="00396AB0">
        <w:rPr>
          <w:rFonts w:ascii="Bookman Old Style" w:hAnsi="Bookman Old Style"/>
          <w:b/>
          <w:i/>
          <w:sz w:val="28"/>
          <w:szCs w:val="28"/>
        </w:rPr>
        <w:t>s of a liquidated company is in</w:t>
      </w:r>
      <w:r w:rsidR="00E34ACD" w:rsidRPr="00396AB0">
        <w:rPr>
          <w:rFonts w:ascii="Bookman Old Style" w:hAnsi="Bookman Old Style"/>
          <w:b/>
          <w:i/>
          <w:sz w:val="28"/>
          <w:szCs w:val="28"/>
        </w:rPr>
        <w:t xml:space="preserve"> the liquidator and</w:t>
      </w:r>
      <w:r w:rsidRPr="00396AB0">
        <w:rPr>
          <w:rFonts w:ascii="Bookman Old Style" w:hAnsi="Bookman Old Style"/>
          <w:b/>
          <w:i/>
          <w:sz w:val="28"/>
          <w:szCs w:val="28"/>
        </w:rPr>
        <w:t xml:space="preserve"> not</w:t>
      </w:r>
      <w:r w:rsidR="00E34ACD" w:rsidRPr="00396AB0">
        <w:rPr>
          <w:rFonts w:ascii="Bookman Old Style" w:hAnsi="Bookman Old Style"/>
          <w:b/>
          <w:i/>
          <w:sz w:val="28"/>
          <w:szCs w:val="28"/>
        </w:rPr>
        <w:t xml:space="preserve"> the receiver/manager.</w:t>
      </w:r>
      <w:r w:rsidRPr="00396AB0">
        <w:rPr>
          <w:rFonts w:ascii="Bookman Old Style" w:hAnsi="Bookman Old Style"/>
          <w:b/>
          <w:i/>
          <w:sz w:val="28"/>
          <w:szCs w:val="28"/>
        </w:rPr>
        <w:t>”</w:t>
      </w:r>
      <w:r w:rsidR="00E34ACD" w:rsidRPr="00396AB0">
        <w:rPr>
          <w:rFonts w:ascii="Bookman Old Style" w:hAnsi="Bookman Old Style"/>
          <w:b/>
          <w:i/>
          <w:sz w:val="28"/>
          <w:szCs w:val="28"/>
        </w:rPr>
        <w:t xml:space="preserve"> </w:t>
      </w:r>
      <w:r w:rsidR="00E34ACD">
        <w:rPr>
          <w:rFonts w:ascii="Bookman Old Style" w:hAnsi="Bookman Old Style"/>
          <w:sz w:val="28"/>
          <w:szCs w:val="28"/>
        </w:rPr>
        <w:t xml:space="preserve"> He went on to state that in this case, th</w:t>
      </w:r>
      <w:r w:rsidR="007B6DAB">
        <w:rPr>
          <w:rFonts w:ascii="Bookman Old Style" w:hAnsi="Bookman Old Style"/>
          <w:sz w:val="28"/>
          <w:szCs w:val="28"/>
        </w:rPr>
        <w:t>e role of</w:t>
      </w:r>
      <w:r w:rsidR="00E1060C">
        <w:rPr>
          <w:rFonts w:ascii="Bookman Old Style" w:hAnsi="Bookman Old Style"/>
          <w:sz w:val="28"/>
          <w:szCs w:val="28"/>
        </w:rPr>
        <w:t xml:space="preserve"> a</w:t>
      </w:r>
      <w:r w:rsidR="007B6DAB">
        <w:rPr>
          <w:rFonts w:ascii="Bookman Old Style" w:hAnsi="Bookman Old Style"/>
          <w:sz w:val="28"/>
          <w:szCs w:val="28"/>
        </w:rPr>
        <w:t xml:space="preserve"> receiver/manager </w:t>
      </w:r>
      <w:r w:rsidR="00E34ACD">
        <w:rPr>
          <w:rFonts w:ascii="Bookman Old Style" w:hAnsi="Bookman Old Style"/>
          <w:sz w:val="28"/>
          <w:szCs w:val="28"/>
        </w:rPr>
        <w:t>to administer the affairs o</w:t>
      </w:r>
      <w:r w:rsidR="007B6DAB">
        <w:rPr>
          <w:rFonts w:ascii="Bookman Old Style" w:hAnsi="Bookman Old Style"/>
          <w:sz w:val="28"/>
          <w:szCs w:val="28"/>
        </w:rPr>
        <w:t>f the liquidated company ended at the time that</w:t>
      </w:r>
      <w:r w:rsidR="00E34ACD">
        <w:rPr>
          <w:rFonts w:ascii="Bookman Old Style" w:hAnsi="Bookman Old Style"/>
          <w:sz w:val="28"/>
          <w:szCs w:val="28"/>
        </w:rPr>
        <w:t xml:space="preserve"> the company was wo</w:t>
      </w:r>
      <w:r w:rsidR="007B6DAB">
        <w:rPr>
          <w:rFonts w:ascii="Bookman Old Style" w:hAnsi="Bookman Old Style"/>
          <w:sz w:val="28"/>
          <w:szCs w:val="28"/>
        </w:rPr>
        <w:t>und up.  That</w:t>
      </w:r>
      <w:r w:rsidR="00E34ACD">
        <w:rPr>
          <w:rFonts w:ascii="Bookman Old Style" w:hAnsi="Bookman Old Style"/>
          <w:sz w:val="28"/>
          <w:szCs w:val="28"/>
        </w:rPr>
        <w:t xml:space="preserve"> once the Appellant Company was wound up, the role of the receiver/manager was to safeguard the interest</w:t>
      </w:r>
      <w:r w:rsidR="007B6DAB">
        <w:rPr>
          <w:rFonts w:ascii="Bookman Old Style" w:hAnsi="Bookman Old Style"/>
          <w:sz w:val="28"/>
          <w:szCs w:val="28"/>
        </w:rPr>
        <w:t>s of his</w:t>
      </w:r>
      <w:r w:rsidR="00796271">
        <w:rPr>
          <w:rFonts w:ascii="Bookman Old Style" w:hAnsi="Bookman Old Style"/>
          <w:sz w:val="28"/>
          <w:szCs w:val="28"/>
        </w:rPr>
        <w:t xml:space="preserve"> principal</w:t>
      </w:r>
      <w:r w:rsidR="00E34ACD">
        <w:rPr>
          <w:rFonts w:ascii="Bookman Old Style" w:hAnsi="Bookman Old Style"/>
          <w:sz w:val="28"/>
          <w:szCs w:val="28"/>
        </w:rPr>
        <w:t xml:space="preserve">s through the </w:t>
      </w:r>
      <w:r w:rsidR="007B6DAB">
        <w:rPr>
          <w:rFonts w:ascii="Bookman Old Style" w:hAnsi="Bookman Old Style"/>
          <w:sz w:val="28"/>
          <w:szCs w:val="28"/>
        </w:rPr>
        <w:t xml:space="preserve">liquidator.   The Judge stated further; </w:t>
      </w:r>
      <w:r w:rsidR="007B6DAB" w:rsidRPr="007B6DAB">
        <w:rPr>
          <w:rFonts w:ascii="Bookman Old Style" w:hAnsi="Bookman Old Style"/>
          <w:b/>
          <w:i/>
          <w:sz w:val="28"/>
          <w:szCs w:val="28"/>
        </w:rPr>
        <w:t>“T</w:t>
      </w:r>
      <w:r w:rsidR="008E3B56" w:rsidRPr="007B6DAB">
        <w:rPr>
          <w:rFonts w:ascii="Bookman Old Style" w:hAnsi="Bookman Old Style"/>
          <w:b/>
          <w:i/>
          <w:sz w:val="28"/>
          <w:szCs w:val="28"/>
        </w:rPr>
        <w:t>he Order under review merely confirmed the position of the receiver/manager in that he was to continue as a receiver/manager until such time th</w:t>
      </w:r>
      <w:r w:rsidR="007B6DAB" w:rsidRPr="007B6DAB">
        <w:rPr>
          <w:rFonts w:ascii="Bookman Old Style" w:hAnsi="Bookman Old Style"/>
          <w:b/>
          <w:i/>
          <w:sz w:val="28"/>
          <w:szCs w:val="28"/>
        </w:rPr>
        <w:t>at his assignment was completed.   It does not vest the assets of the C</w:t>
      </w:r>
      <w:r w:rsidR="008E3B56" w:rsidRPr="007B6DAB">
        <w:rPr>
          <w:rFonts w:ascii="Bookman Old Style" w:hAnsi="Bookman Old Style"/>
          <w:b/>
          <w:i/>
          <w:sz w:val="28"/>
          <w:szCs w:val="28"/>
        </w:rPr>
        <w:t xml:space="preserve">ompany under his custody and control to the </w:t>
      </w:r>
      <w:r w:rsidR="007B6DAB" w:rsidRPr="007B6DAB">
        <w:rPr>
          <w:rFonts w:ascii="Bookman Old Style" w:hAnsi="Bookman Old Style"/>
          <w:b/>
          <w:i/>
          <w:sz w:val="28"/>
          <w:szCs w:val="28"/>
        </w:rPr>
        <w:t xml:space="preserve">exclusion of the liquidator who is in fact </w:t>
      </w:r>
      <w:r w:rsidR="008E3B56" w:rsidRPr="007B6DAB">
        <w:rPr>
          <w:rFonts w:ascii="Bookman Old Style" w:hAnsi="Bookman Old Style"/>
          <w:b/>
          <w:i/>
          <w:sz w:val="28"/>
          <w:szCs w:val="28"/>
        </w:rPr>
        <w:t xml:space="preserve">the </w:t>
      </w:r>
      <w:r w:rsidR="00B100C5" w:rsidRPr="007B6DAB">
        <w:rPr>
          <w:rFonts w:ascii="Bookman Old Style" w:hAnsi="Bookman Old Style"/>
          <w:b/>
          <w:i/>
          <w:sz w:val="28"/>
          <w:szCs w:val="28"/>
        </w:rPr>
        <w:t>legally</w:t>
      </w:r>
      <w:r w:rsidR="008E3B56" w:rsidRPr="007B6DAB">
        <w:rPr>
          <w:rFonts w:ascii="Bookman Old Style" w:hAnsi="Bookman Old Style"/>
          <w:b/>
          <w:i/>
          <w:sz w:val="28"/>
          <w:szCs w:val="28"/>
        </w:rPr>
        <w:t xml:space="preserve"> authorized person </w:t>
      </w:r>
      <w:r w:rsidR="007B6DAB" w:rsidRPr="007B6DAB">
        <w:rPr>
          <w:rFonts w:ascii="Bookman Old Style" w:hAnsi="Bookman Old Style"/>
          <w:b/>
          <w:i/>
          <w:sz w:val="28"/>
          <w:szCs w:val="28"/>
        </w:rPr>
        <w:t>to administer the affairs of a</w:t>
      </w:r>
      <w:r w:rsidR="008E3B56" w:rsidRPr="007B6DAB">
        <w:rPr>
          <w:rFonts w:ascii="Bookman Old Style" w:hAnsi="Bookman Old Style"/>
          <w:b/>
          <w:i/>
          <w:sz w:val="28"/>
          <w:szCs w:val="28"/>
        </w:rPr>
        <w:t xml:space="preserve"> wound up company.</w:t>
      </w:r>
      <w:r w:rsidR="007B6DAB" w:rsidRPr="007B6DAB">
        <w:rPr>
          <w:rFonts w:ascii="Bookman Old Style" w:hAnsi="Bookman Old Style"/>
          <w:b/>
          <w:i/>
          <w:sz w:val="28"/>
          <w:szCs w:val="28"/>
        </w:rPr>
        <w:t>”</w:t>
      </w:r>
      <w:r w:rsidR="00E34ACD" w:rsidRPr="007B6DAB">
        <w:rPr>
          <w:rFonts w:ascii="Bookman Old Style" w:hAnsi="Bookman Old Style"/>
          <w:b/>
          <w:i/>
          <w:sz w:val="28"/>
          <w:szCs w:val="28"/>
        </w:rPr>
        <w:t xml:space="preserve"> </w:t>
      </w:r>
      <w:r w:rsidR="007854F7" w:rsidRPr="007B6DAB">
        <w:rPr>
          <w:rFonts w:ascii="Bookman Old Style" w:hAnsi="Bookman Old Style"/>
          <w:b/>
          <w:i/>
          <w:sz w:val="28"/>
          <w:szCs w:val="28"/>
        </w:rPr>
        <w:t xml:space="preserve">  </w:t>
      </w:r>
    </w:p>
    <w:p w:rsidR="00E23F29" w:rsidRDefault="007854F7" w:rsidP="00E23F29">
      <w:pPr>
        <w:pStyle w:val="NoSpacing"/>
        <w:spacing w:line="480" w:lineRule="auto"/>
        <w:ind w:firstLine="720"/>
        <w:jc w:val="both"/>
        <w:rPr>
          <w:rFonts w:ascii="Bookman Old Style" w:hAnsi="Bookman Old Style"/>
          <w:sz w:val="28"/>
          <w:szCs w:val="28"/>
        </w:rPr>
      </w:pPr>
      <w:r>
        <w:rPr>
          <w:rFonts w:ascii="Bookman Old Style" w:hAnsi="Bookman Old Style"/>
          <w:sz w:val="28"/>
          <w:szCs w:val="28"/>
        </w:rPr>
        <w:t>The Judge was surprised t</w:t>
      </w:r>
      <w:r w:rsidR="00BD7748">
        <w:rPr>
          <w:rFonts w:ascii="Bookman Old Style" w:hAnsi="Bookman Old Style"/>
          <w:sz w:val="28"/>
          <w:szCs w:val="28"/>
        </w:rPr>
        <w:t xml:space="preserve">hat the receiver/manager had not channeled some of the </w:t>
      </w:r>
      <w:r>
        <w:rPr>
          <w:rFonts w:ascii="Bookman Old Style" w:hAnsi="Bookman Old Style"/>
          <w:sz w:val="28"/>
          <w:szCs w:val="28"/>
        </w:rPr>
        <w:t>funds</w:t>
      </w:r>
      <w:r w:rsidR="00BD7748">
        <w:rPr>
          <w:rFonts w:ascii="Bookman Old Style" w:hAnsi="Bookman Old Style"/>
          <w:sz w:val="28"/>
          <w:szCs w:val="28"/>
        </w:rPr>
        <w:t xml:space="preserve"> that he had realised</w:t>
      </w:r>
      <w:r>
        <w:rPr>
          <w:rFonts w:ascii="Bookman Old Style" w:hAnsi="Bookman Old Style"/>
          <w:sz w:val="28"/>
          <w:szCs w:val="28"/>
        </w:rPr>
        <w:t xml:space="preserve"> from the sale of some of the a</w:t>
      </w:r>
      <w:r w:rsidR="0079345A">
        <w:rPr>
          <w:rFonts w:ascii="Bookman Old Style" w:hAnsi="Bookman Old Style"/>
          <w:sz w:val="28"/>
          <w:szCs w:val="28"/>
        </w:rPr>
        <w:t xml:space="preserve">ssets </w:t>
      </w:r>
      <w:r>
        <w:rPr>
          <w:rFonts w:ascii="Bookman Old Style" w:hAnsi="Bookman Old Style"/>
          <w:sz w:val="28"/>
          <w:szCs w:val="28"/>
        </w:rPr>
        <w:t>to his princip</w:t>
      </w:r>
      <w:r w:rsidR="008B4C9E">
        <w:rPr>
          <w:rFonts w:ascii="Bookman Old Style" w:hAnsi="Bookman Old Style"/>
          <w:sz w:val="28"/>
          <w:szCs w:val="28"/>
        </w:rPr>
        <w:t>al</w:t>
      </w:r>
      <w:r>
        <w:rPr>
          <w:rFonts w:ascii="Bookman Old Style" w:hAnsi="Bookman Old Style"/>
          <w:sz w:val="28"/>
          <w:szCs w:val="28"/>
        </w:rPr>
        <w:t>s, but opted to pay creditors whose interests were to be taken</w:t>
      </w:r>
      <w:r w:rsidR="00BD7748">
        <w:rPr>
          <w:rFonts w:ascii="Bookman Old Style" w:hAnsi="Bookman Old Style"/>
          <w:sz w:val="28"/>
          <w:szCs w:val="28"/>
        </w:rPr>
        <w:t xml:space="preserve"> care of by the liquidator as </w:t>
      </w:r>
    </w:p>
    <w:p w:rsidR="00E23F29" w:rsidRDefault="00E23F29" w:rsidP="00E23F29">
      <w:pPr>
        <w:pStyle w:val="NoSpacing"/>
        <w:spacing w:line="480" w:lineRule="auto"/>
        <w:jc w:val="right"/>
        <w:rPr>
          <w:rFonts w:ascii="Bookman Old Style" w:hAnsi="Bookman Old Style"/>
          <w:sz w:val="28"/>
          <w:szCs w:val="28"/>
        </w:rPr>
      </w:pPr>
      <w:r>
        <w:rPr>
          <w:rFonts w:ascii="Bookman Old Style" w:hAnsi="Bookman Old Style"/>
          <w:sz w:val="28"/>
          <w:szCs w:val="28"/>
        </w:rPr>
        <w:lastRenderedPageBreak/>
        <w:t>6</w:t>
      </w:r>
    </w:p>
    <w:p w:rsidR="004200D3" w:rsidRDefault="00BD7748" w:rsidP="00E23F29">
      <w:pPr>
        <w:pStyle w:val="NoSpacing"/>
        <w:spacing w:line="480" w:lineRule="auto"/>
        <w:jc w:val="both"/>
        <w:rPr>
          <w:rFonts w:ascii="Bookman Old Style" w:hAnsi="Bookman Old Style"/>
          <w:sz w:val="28"/>
          <w:szCs w:val="28"/>
        </w:rPr>
      </w:pPr>
      <w:r>
        <w:rPr>
          <w:rFonts w:ascii="Bookman Old Style" w:hAnsi="Bookman Old Style"/>
          <w:sz w:val="28"/>
          <w:szCs w:val="28"/>
        </w:rPr>
        <w:t>directed in</w:t>
      </w:r>
      <w:r w:rsidR="007854F7">
        <w:rPr>
          <w:rFonts w:ascii="Bookman Old Style" w:hAnsi="Bookman Old Style"/>
          <w:sz w:val="28"/>
          <w:szCs w:val="28"/>
        </w:rPr>
        <w:t xml:space="preserve"> the Order that wa</w:t>
      </w:r>
      <w:r>
        <w:rPr>
          <w:rFonts w:ascii="Bookman Old Style" w:hAnsi="Bookman Old Style"/>
          <w:sz w:val="28"/>
          <w:szCs w:val="28"/>
        </w:rPr>
        <w:t>s given by the Court.  He</w:t>
      </w:r>
      <w:r w:rsidR="007854F7">
        <w:rPr>
          <w:rFonts w:ascii="Bookman Old Style" w:hAnsi="Bookman Old Style"/>
          <w:sz w:val="28"/>
          <w:szCs w:val="28"/>
        </w:rPr>
        <w:t xml:space="preserve"> explained that his Order of 20</w:t>
      </w:r>
      <w:r w:rsidR="007854F7" w:rsidRPr="007854F7">
        <w:rPr>
          <w:rFonts w:ascii="Bookman Old Style" w:hAnsi="Bookman Old Style"/>
          <w:sz w:val="28"/>
          <w:szCs w:val="28"/>
          <w:vertAlign w:val="superscript"/>
        </w:rPr>
        <w:t>th</w:t>
      </w:r>
      <w:r w:rsidR="007854F7">
        <w:rPr>
          <w:rFonts w:ascii="Bookman Old Style" w:hAnsi="Bookman Old Style"/>
          <w:sz w:val="28"/>
          <w:szCs w:val="28"/>
        </w:rPr>
        <w:t xml:space="preserve"> October 1995 did not vest the assets of the </w:t>
      </w:r>
      <w:r w:rsidR="00E1060C">
        <w:rPr>
          <w:rFonts w:ascii="Bookman Old Style" w:hAnsi="Bookman Old Style"/>
          <w:sz w:val="28"/>
          <w:szCs w:val="28"/>
        </w:rPr>
        <w:t>company in</w:t>
      </w:r>
      <w:r w:rsidR="007854F7">
        <w:rPr>
          <w:rFonts w:ascii="Bookman Old Style" w:hAnsi="Bookman Old Style"/>
          <w:sz w:val="28"/>
          <w:szCs w:val="28"/>
        </w:rPr>
        <w:t xml:space="preserve"> the custody and control of the receiver/manager but merely extended his receive</w:t>
      </w:r>
      <w:r w:rsidR="004200D3">
        <w:rPr>
          <w:rFonts w:ascii="Bookman Old Style" w:hAnsi="Bookman Old Style"/>
          <w:sz w:val="28"/>
          <w:szCs w:val="28"/>
        </w:rPr>
        <w:t>rship on behalf of his principal</w:t>
      </w:r>
      <w:r w:rsidR="007854F7">
        <w:rPr>
          <w:rFonts w:ascii="Bookman Old Style" w:hAnsi="Bookman Old Style"/>
          <w:sz w:val="28"/>
          <w:szCs w:val="28"/>
        </w:rPr>
        <w:t>s.</w:t>
      </w:r>
      <w:r w:rsidR="008B4C9E">
        <w:rPr>
          <w:rFonts w:ascii="Bookman Old Style" w:hAnsi="Bookman Old Style"/>
          <w:sz w:val="28"/>
          <w:szCs w:val="28"/>
        </w:rPr>
        <w:t xml:space="preserve">  </w:t>
      </w:r>
    </w:p>
    <w:p w:rsidR="00BB3640" w:rsidRDefault="004200D3" w:rsidP="008B4C9E">
      <w:pPr>
        <w:pStyle w:val="NoSpacing"/>
        <w:spacing w:line="480" w:lineRule="auto"/>
        <w:ind w:firstLine="720"/>
        <w:jc w:val="both"/>
        <w:rPr>
          <w:rFonts w:ascii="Bookman Old Style" w:hAnsi="Bookman Old Style"/>
          <w:sz w:val="28"/>
          <w:szCs w:val="28"/>
        </w:rPr>
      </w:pPr>
      <w:r>
        <w:rPr>
          <w:rFonts w:ascii="Bookman Old Style" w:hAnsi="Bookman Old Style"/>
          <w:sz w:val="28"/>
          <w:szCs w:val="28"/>
        </w:rPr>
        <w:t xml:space="preserve">The Judge alluded to the provisions of </w:t>
      </w:r>
      <w:r w:rsidR="00BB3640">
        <w:rPr>
          <w:rFonts w:ascii="Bookman Old Style" w:hAnsi="Bookman Old Style"/>
          <w:sz w:val="28"/>
          <w:szCs w:val="28"/>
        </w:rPr>
        <w:t>Section 107 to 118 of the Companies Act wh</w:t>
      </w:r>
      <w:r>
        <w:rPr>
          <w:rFonts w:ascii="Bookman Old Style" w:hAnsi="Bookman Old Style"/>
          <w:sz w:val="28"/>
          <w:szCs w:val="28"/>
        </w:rPr>
        <w:t>ich deal with receiverships.  It was his</w:t>
      </w:r>
      <w:r w:rsidR="00BB3640">
        <w:rPr>
          <w:rFonts w:ascii="Bookman Old Style" w:hAnsi="Bookman Old Style"/>
          <w:sz w:val="28"/>
          <w:szCs w:val="28"/>
        </w:rPr>
        <w:t xml:space="preserve"> view that none of these provisions gave power to a receiver/manager to run or manage a liquidated company.  He </w:t>
      </w:r>
      <w:r w:rsidR="00631741">
        <w:rPr>
          <w:rFonts w:ascii="Bookman Old Style" w:hAnsi="Bookman Old Style"/>
          <w:sz w:val="28"/>
          <w:szCs w:val="28"/>
        </w:rPr>
        <w:t xml:space="preserve">stated that where our laws provide for a procedure to be followed in a particular situation, reliance on foreign authorities is not necessary unless there exist a lacuna.  For this </w:t>
      </w:r>
      <w:r w:rsidR="00E1060C">
        <w:rPr>
          <w:rFonts w:ascii="Bookman Old Style" w:hAnsi="Bookman Old Style"/>
          <w:sz w:val="28"/>
          <w:szCs w:val="28"/>
        </w:rPr>
        <w:t>pro</w:t>
      </w:r>
      <w:r w:rsidR="00631741">
        <w:rPr>
          <w:rFonts w:ascii="Bookman Old Style" w:hAnsi="Bookman Old Style"/>
          <w:sz w:val="28"/>
          <w:szCs w:val="28"/>
        </w:rPr>
        <w:t>position, he</w:t>
      </w:r>
      <w:r w:rsidR="00BB3640">
        <w:rPr>
          <w:rFonts w:ascii="Bookman Old Style" w:hAnsi="Bookman Old Style"/>
          <w:sz w:val="28"/>
          <w:szCs w:val="28"/>
        </w:rPr>
        <w:t xml:space="preserve"> referred to the case of </w:t>
      </w:r>
      <w:r w:rsidR="00BB3640" w:rsidRPr="00BB3640">
        <w:rPr>
          <w:rFonts w:ascii="Bookman Old Style" w:hAnsi="Bookman Old Style"/>
          <w:b/>
          <w:sz w:val="28"/>
          <w:szCs w:val="28"/>
        </w:rPr>
        <w:t>WATER WELLS LTD VS JACKSON</w:t>
      </w:r>
      <w:r w:rsidR="00E1060C">
        <w:rPr>
          <w:rFonts w:ascii="Bookman Old Style" w:hAnsi="Bookman Old Style"/>
          <w:b/>
          <w:sz w:val="28"/>
          <w:szCs w:val="28"/>
        </w:rPr>
        <w:t>¹</w:t>
      </w:r>
      <w:r w:rsidR="00BB3640" w:rsidRPr="00BB3640">
        <w:rPr>
          <w:rFonts w:ascii="Bookman Old Style" w:hAnsi="Bookman Old Style"/>
          <w:b/>
          <w:sz w:val="28"/>
          <w:szCs w:val="28"/>
        </w:rPr>
        <w:t xml:space="preserve"> </w:t>
      </w:r>
      <w:r w:rsidR="00BB3640">
        <w:rPr>
          <w:rFonts w:ascii="Bookman Old Style" w:hAnsi="Bookman Old Style"/>
          <w:sz w:val="28"/>
          <w:szCs w:val="28"/>
        </w:rPr>
        <w:t>in which it was held</w:t>
      </w:r>
      <w:r w:rsidR="00580A90">
        <w:rPr>
          <w:rFonts w:ascii="Bookman Old Style" w:hAnsi="Bookman Old Style"/>
          <w:sz w:val="28"/>
          <w:szCs w:val="28"/>
        </w:rPr>
        <w:t>:</w:t>
      </w:r>
    </w:p>
    <w:p w:rsidR="00580A90" w:rsidRDefault="00580A90" w:rsidP="00580A90">
      <w:pPr>
        <w:pStyle w:val="NoSpacing"/>
        <w:ind w:left="720"/>
        <w:jc w:val="both"/>
        <w:rPr>
          <w:rFonts w:ascii="Bookman Old Style" w:hAnsi="Bookman Old Style"/>
          <w:b/>
        </w:rPr>
      </w:pPr>
      <w:r>
        <w:rPr>
          <w:rFonts w:ascii="Bookman Old Style" w:hAnsi="Bookman Old Style"/>
          <w:b/>
        </w:rPr>
        <w:t>“No need arises to draw a parallel between the Rules of the Supreme Court of England and those of the High Court Rules of Zambia when the latter Rules make it abundantly clear as to the position in question.”</w:t>
      </w:r>
    </w:p>
    <w:p w:rsidR="00017085" w:rsidRDefault="00017085" w:rsidP="00017085">
      <w:pPr>
        <w:pStyle w:val="NoSpacing"/>
        <w:spacing w:line="480" w:lineRule="auto"/>
        <w:jc w:val="both"/>
        <w:rPr>
          <w:rFonts w:ascii="Bookman Old Style" w:hAnsi="Bookman Old Style"/>
          <w:b/>
        </w:rPr>
      </w:pPr>
    </w:p>
    <w:p w:rsidR="00017085" w:rsidRDefault="00631741" w:rsidP="00017085">
      <w:pPr>
        <w:pStyle w:val="NoSpacing"/>
        <w:spacing w:line="480" w:lineRule="auto"/>
        <w:jc w:val="both"/>
        <w:rPr>
          <w:rFonts w:ascii="Bookman Old Style" w:hAnsi="Bookman Old Style"/>
          <w:sz w:val="28"/>
          <w:szCs w:val="28"/>
        </w:rPr>
      </w:pPr>
      <w:r>
        <w:rPr>
          <w:rFonts w:ascii="Bookman Old Style" w:hAnsi="Bookman Old Style"/>
          <w:sz w:val="28"/>
          <w:szCs w:val="28"/>
        </w:rPr>
        <w:t>The Judge went on to state that if a</w:t>
      </w:r>
      <w:r w:rsidR="00017085">
        <w:rPr>
          <w:rFonts w:ascii="Bookman Old Style" w:hAnsi="Bookman Old Style"/>
          <w:sz w:val="28"/>
          <w:szCs w:val="28"/>
        </w:rPr>
        <w:t xml:space="preserve"> receiver desi</w:t>
      </w:r>
      <w:r>
        <w:rPr>
          <w:rFonts w:ascii="Bookman Old Style" w:hAnsi="Bookman Old Style"/>
          <w:sz w:val="28"/>
          <w:szCs w:val="28"/>
        </w:rPr>
        <w:t>red to impugn the conduct of a</w:t>
      </w:r>
      <w:r w:rsidR="00464185">
        <w:rPr>
          <w:rFonts w:ascii="Bookman Old Style" w:hAnsi="Bookman Old Style"/>
          <w:sz w:val="28"/>
          <w:szCs w:val="28"/>
        </w:rPr>
        <w:t xml:space="preserve"> liquidator,</w:t>
      </w:r>
      <w:r w:rsidR="00017085">
        <w:rPr>
          <w:rFonts w:ascii="Bookman Old Style" w:hAnsi="Bookman Old Style"/>
          <w:sz w:val="28"/>
          <w:szCs w:val="28"/>
        </w:rPr>
        <w:t xml:space="preserve"> </w:t>
      </w:r>
      <w:r w:rsidR="00E1060C">
        <w:rPr>
          <w:rFonts w:ascii="Bookman Old Style" w:hAnsi="Bookman Old Style"/>
          <w:sz w:val="28"/>
          <w:szCs w:val="28"/>
        </w:rPr>
        <w:t xml:space="preserve">he </w:t>
      </w:r>
      <w:r w:rsidR="00017085">
        <w:rPr>
          <w:rFonts w:ascii="Bookman Old Style" w:hAnsi="Bookman Old Style"/>
          <w:sz w:val="28"/>
          <w:szCs w:val="28"/>
        </w:rPr>
        <w:t xml:space="preserve">was at liberty to invoke the provisions of </w:t>
      </w:r>
      <w:r w:rsidR="00464185" w:rsidRPr="00464185">
        <w:rPr>
          <w:rFonts w:ascii="Bookman Old Style" w:hAnsi="Bookman Old Style"/>
          <w:b/>
          <w:sz w:val="28"/>
          <w:szCs w:val="28"/>
        </w:rPr>
        <w:t>SECTION 284 OF THE COMPANIES’ ACT</w:t>
      </w:r>
      <w:r w:rsidR="00464185">
        <w:rPr>
          <w:rFonts w:ascii="Bookman Old Style" w:hAnsi="Bookman Old Style"/>
          <w:b/>
          <w:sz w:val="28"/>
          <w:szCs w:val="28"/>
        </w:rPr>
        <w:t xml:space="preserve">¹. </w:t>
      </w:r>
      <w:r w:rsidR="00E1060C">
        <w:rPr>
          <w:rFonts w:ascii="Bookman Old Style" w:hAnsi="Bookman Old Style"/>
          <w:sz w:val="28"/>
          <w:szCs w:val="28"/>
        </w:rPr>
        <w:t xml:space="preserve">  The Section</w:t>
      </w:r>
      <w:r w:rsidR="00E92CFF">
        <w:rPr>
          <w:rFonts w:ascii="Bookman Old Style" w:hAnsi="Bookman Old Style"/>
          <w:sz w:val="28"/>
          <w:szCs w:val="28"/>
        </w:rPr>
        <w:t xml:space="preserve"> states as follows:-</w:t>
      </w:r>
    </w:p>
    <w:p w:rsidR="00E23F29" w:rsidRDefault="00E23F29" w:rsidP="00017085">
      <w:pPr>
        <w:pStyle w:val="NoSpacing"/>
        <w:spacing w:line="480" w:lineRule="auto"/>
        <w:jc w:val="both"/>
        <w:rPr>
          <w:rFonts w:ascii="Bookman Old Style" w:hAnsi="Bookman Old Style"/>
          <w:sz w:val="28"/>
          <w:szCs w:val="28"/>
        </w:rPr>
      </w:pPr>
    </w:p>
    <w:p w:rsidR="00CF4BD7" w:rsidRPr="00E23F29" w:rsidRDefault="00E23F29" w:rsidP="00CF4BD7">
      <w:pPr>
        <w:pStyle w:val="NoSpacing"/>
        <w:ind w:left="720"/>
        <w:jc w:val="right"/>
        <w:rPr>
          <w:rFonts w:ascii="Bookman Old Style" w:hAnsi="Bookman Old Style"/>
          <w:b/>
          <w:sz w:val="28"/>
          <w:szCs w:val="28"/>
        </w:rPr>
      </w:pPr>
      <w:r>
        <w:rPr>
          <w:rFonts w:ascii="Bookman Old Style" w:hAnsi="Bookman Old Style"/>
          <w:b/>
          <w:sz w:val="28"/>
          <w:szCs w:val="28"/>
        </w:rPr>
        <w:lastRenderedPageBreak/>
        <w:t>7</w:t>
      </w:r>
    </w:p>
    <w:p w:rsidR="00E92CFF" w:rsidRDefault="00E92CFF" w:rsidP="00E92CFF">
      <w:pPr>
        <w:pStyle w:val="NoSpacing"/>
        <w:ind w:left="720"/>
        <w:jc w:val="both"/>
        <w:rPr>
          <w:rFonts w:ascii="Bookman Old Style" w:hAnsi="Bookman Old Style"/>
          <w:b/>
        </w:rPr>
      </w:pPr>
      <w:r>
        <w:rPr>
          <w:rFonts w:ascii="Bookman Old Style" w:hAnsi="Bookman Old Style"/>
          <w:b/>
        </w:rPr>
        <w:t>“(1)</w:t>
      </w:r>
      <w:r>
        <w:rPr>
          <w:rFonts w:ascii="Bookman Old Style" w:hAnsi="Bookman Old Style"/>
          <w:b/>
        </w:rPr>
        <w:tab/>
        <w:t>Where, in the winding up of a Company by the Court, a person other than the official receiver is the liquidator, the official receiver shall take cognizance of his conduct and if the liquidator does not faithfully perform his duties and duly observe all the respect to the performance of his duties, or if any complaint is made to the official receiver by any creditor or member in regard thereto, the official receiver shall inquire into the matter, and take such action as he thinks fit.</w:t>
      </w:r>
    </w:p>
    <w:p w:rsidR="008C704B" w:rsidRDefault="008C704B" w:rsidP="00E92CFF">
      <w:pPr>
        <w:pStyle w:val="NoSpacing"/>
        <w:ind w:left="720"/>
        <w:jc w:val="both"/>
        <w:rPr>
          <w:rFonts w:ascii="Bookman Old Style" w:hAnsi="Bookman Old Style"/>
          <w:b/>
        </w:rPr>
      </w:pPr>
    </w:p>
    <w:p w:rsidR="008C704B" w:rsidRDefault="008C704B" w:rsidP="00E92CFF">
      <w:pPr>
        <w:pStyle w:val="NoSpacing"/>
        <w:ind w:left="720"/>
        <w:jc w:val="both"/>
        <w:rPr>
          <w:rFonts w:ascii="Bookman Old Style" w:hAnsi="Bookman Old Style"/>
          <w:b/>
        </w:rPr>
      </w:pPr>
      <w:r>
        <w:rPr>
          <w:rFonts w:ascii="Bookman Old Style" w:hAnsi="Bookman Old Style"/>
          <w:b/>
        </w:rPr>
        <w:t>(2)</w:t>
      </w:r>
      <w:r>
        <w:rPr>
          <w:rFonts w:ascii="Bookman Old Style" w:hAnsi="Bookman Old Style"/>
          <w:b/>
        </w:rPr>
        <w:tab/>
        <w:t>The official receiver may at any time require any liquidator of a Company which is being wound-up by the Court to answer any inquiry in relation to any winding up in which he is engaged, and may apply to the Court to examine him or any other person on oath concerning the winding-up.</w:t>
      </w:r>
    </w:p>
    <w:p w:rsidR="008C704B" w:rsidRDefault="008C704B" w:rsidP="00E92CFF">
      <w:pPr>
        <w:pStyle w:val="NoSpacing"/>
        <w:ind w:left="720"/>
        <w:jc w:val="both"/>
        <w:rPr>
          <w:rFonts w:ascii="Bookman Old Style" w:hAnsi="Bookman Old Style"/>
          <w:b/>
        </w:rPr>
      </w:pPr>
    </w:p>
    <w:p w:rsidR="008C704B" w:rsidRDefault="008C704B" w:rsidP="00E92CFF">
      <w:pPr>
        <w:pStyle w:val="NoSpacing"/>
        <w:ind w:left="720"/>
        <w:jc w:val="both"/>
        <w:rPr>
          <w:rFonts w:ascii="Bookman Old Style" w:hAnsi="Bookman Old Style"/>
          <w:b/>
        </w:rPr>
      </w:pPr>
      <w:r>
        <w:rPr>
          <w:rFonts w:ascii="Bookman Old Style" w:hAnsi="Bookman Old Style"/>
          <w:b/>
        </w:rPr>
        <w:t>(3)</w:t>
      </w:r>
      <w:r>
        <w:rPr>
          <w:rFonts w:ascii="Bookman Old Style" w:hAnsi="Bookman Old Style"/>
          <w:b/>
        </w:rPr>
        <w:tab/>
        <w:t>The official receiver may direct an investigation to be made of the books and vouchers of a liquidator.”</w:t>
      </w:r>
    </w:p>
    <w:p w:rsidR="009E5D77" w:rsidRDefault="009E5D77" w:rsidP="009E5D77">
      <w:pPr>
        <w:pStyle w:val="NoSpacing"/>
        <w:jc w:val="both"/>
        <w:rPr>
          <w:rFonts w:ascii="Bookman Old Style" w:hAnsi="Bookman Old Style"/>
          <w:b/>
        </w:rPr>
      </w:pPr>
    </w:p>
    <w:p w:rsidR="009E5D77" w:rsidRDefault="009E5D77" w:rsidP="009E5D77">
      <w:pPr>
        <w:pStyle w:val="NoSpacing"/>
        <w:spacing w:line="480" w:lineRule="auto"/>
        <w:jc w:val="both"/>
        <w:rPr>
          <w:rFonts w:ascii="Bookman Old Style" w:hAnsi="Bookman Old Style"/>
          <w:sz w:val="28"/>
          <w:szCs w:val="28"/>
        </w:rPr>
      </w:pPr>
      <w:r>
        <w:rPr>
          <w:rFonts w:ascii="Bookman Old Style" w:hAnsi="Bookman Old Style"/>
          <w:sz w:val="28"/>
          <w:szCs w:val="28"/>
        </w:rPr>
        <w:t>The Judge ended his Ruling by observing that the question that was before him was not really one for re</w:t>
      </w:r>
      <w:r w:rsidR="00A71C25">
        <w:rPr>
          <w:rFonts w:ascii="Bookman Old Style" w:hAnsi="Bookman Old Style"/>
          <w:sz w:val="28"/>
          <w:szCs w:val="28"/>
        </w:rPr>
        <w:t>view but clarif</w:t>
      </w:r>
      <w:r w:rsidR="00D451DA">
        <w:rPr>
          <w:rFonts w:ascii="Bookman Old Style" w:hAnsi="Bookman Old Style"/>
          <w:sz w:val="28"/>
          <w:szCs w:val="28"/>
        </w:rPr>
        <w:t>ication.  According to him</w:t>
      </w:r>
      <w:r w:rsidR="00A71C25">
        <w:rPr>
          <w:rFonts w:ascii="Bookman Old Style" w:hAnsi="Bookman Old Style"/>
          <w:sz w:val="28"/>
          <w:szCs w:val="28"/>
        </w:rPr>
        <w:t xml:space="preserve">, </w:t>
      </w:r>
      <w:r>
        <w:rPr>
          <w:rFonts w:ascii="Bookman Old Style" w:hAnsi="Bookman Old Style"/>
          <w:sz w:val="28"/>
          <w:szCs w:val="28"/>
        </w:rPr>
        <w:t>the Order under review was no</w:t>
      </w:r>
      <w:r w:rsidR="008B4C9E">
        <w:rPr>
          <w:rFonts w:ascii="Bookman Old Style" w:hAnsi="Bookman Old Style"/>
          <w:sz w:val="28"/>
          <w:szCs w:val="28"/>
        </w:rPr>
        <w:t>t</w:t>
      </w:r>
      <w:r>
        <w:rPr>
          <w:rFonts w:ascii="Bookman Old Style" w:hAnsi="Bookman Old Style"/>
          <w:sz w:val="28"/>
          <w:szCs w:val="28"/>
        </w:rPr>
        <w:t xml:space="preserve"> amb</w:t>
      </w:r>
      <w:r w:rsidR="00D451DA">
        <w:rPr>
          <w:rFonts w:ascii="Bookman Old Style" w:hAnsi="Bookman Old Style"/>
          <w:sz w:val="28"/>
          <w:szCs w:val="28"/>
        </w:rPr>
        <w:t>iguous.  It was his view that</w:t>
      </w:r>
      <w:r>
        <w:rPr>
          <w:rFonts w:ascii="Bookman Old Style" w:hAnsi="Bookman Old Style"/>
          <w:sz w:val="28"/>
          <w:szCs w:val="28"/>
        </w:rPr>
        <w:t xml:space="preserve"> the liquidator was the right person to take charge of</w:t>
      </w:r>
      <w:r w:rsidR="00A71C25">
        <w:rPr>
          <w:rFonts w:ascii="Bookman Old Style" w:hAnsi="Bookman Old Style"/>
          <w:sz w:val="28"/>
          <w:szCs w:val="28"/>
        </w:rPr>
        <w:t xml:space="preserve"> the</w:t>
      </w:r>
      <w:r>
        <w:rPr>
          <w:rFonts w:ascii="Bookman Old Style" w:hAnsi="Bookman Old Style"/>
          <w:sz w:val="28"/>
          <w:szCs w:val="28"/>
        </w:rPr>
        <w:t xml:space="preserve"> assets of the Respondent Company</w:t>
      </w:r>
      <w:r w:rsidR="00D451DA">
        <w:rPr>
          <w:rFonts w:ascii="Bookman Old Style" w:hAnsi="Bookman Old Style"/>
          <w:sz w:val="28"/>
          <w:szCs w:val="28"/>
        </w:rPr>
        <w:t>,</w:t>
      </w:r>
      <w:r>
        <w:rPr>
          <w:rFonts w:ascii="Bookman Old Style" w:hAnsi="Bookman Old Style"/>
          <w:sz w:val="28"/>
          <w:szCs w:val="28"/>
        </w:rPr>
        <w:t xml:space="preserve"> </w:t>
      </w:r>
      <w:r w:rsidR="00A71C25">
        <w:rPr>
          <w:rFonts w:ascii="Bookman Old Style" w:hAnsi="Bookman Old Style"/>
          <w:sz w:val="28"/>
          <w:szCs w:val="28"/>
        </w:rPr>
        <w:t>and that the proceeds that would</w:t>
      </w:r>
      <w:r>
        <w:rPr>
          <w:rFonts w:ascii="Bookman Old Style" w:hAnsi="Bookman Old Style"/>
          <w:sz w:val="28"/>
          <w:szCs w:val="28"/>
        </w:rPr>
        <w:t xml:space="preserve"> be realized from the sale of assets should be paid to various</w:t>
      </w:r>
      <w:r w:rsidR="00D451DA">
        <w:rPr>
          <w:rFonts w:ascii="Bookman Old Style" w:hAnsi="Bookman Old Style"/>
          <w:sz w:val="28"/>
          <w:szCs w:val="28"/>
        </w:rPr>
        <w:t xml:space="preserve"> creditors in</w:t>
      </w:r>
      <w:r w:rsidR="00017F31">
        <w:rPr>
          <w:rFonts w:ascii="Bookman Old Style" w:hAnsi="Bookman Old Style"/>
          <w:sz w:val="28"/>
          <w:szCs w:val="28"/>
        </w:rPr>
        <w:t xml:space="preserve"> preferential o</w:t>
      </w:r>
      <w:r>
        <w:rPr>
          <w:rFonts w:ascii="Bookman Old Style" w:hAnsi="Bookman Old Style"/>
          <w:sz w:val="28"/>
          <w:szCs w:val="28"/>
        </w:rPr>
        <w:t>rder</w:t>
      </w:r>
      <w:r w:rsidR="00A71C25">
        <w:rPr>
          <w:rFonts w:ascii="Bookman Old Style" w:hAnsi="Bookman Old Style"/>
          <w:sz w:val="28"/>
          <w:szCs w:val="28"/>
        </w:rPr>
        <w:t>,</w:t>
      </w:r>
      <w:r>
        <w:rPr>
          <w:rFonts w:ascii="Bookman Old Style" w:hAnsi="Bookman Old Style"/>
          <w:sz w:val="28"/>
          <w:szCs w:val="28"/>
        </w:rPr>
        <w:t xml:space="preserve"> beginning with secured creditors.</w:t>
      </w:r>
    </w:p>
    <w:p w:rsidR="009E5D77" w:rsidRDefault="009E5D77" w:rsidP="009E5D77">
      <w:pPr>
        <w:pStyle w:val="NoSpacing"/>
        <w:spacing w:line="480" w:lineRule="auto"/>
        <w:jc w:val="both"/>
        <w:rPr>
          <w:rFonts w:ascii="Bookman Old Style" w:hAnsi="Bookman Old Style"/>
          <w:sz w:val="28"/>
          <w:szCs w:val="28"/>
        </w:rPr>
      </w:pPr>
      <w:r>
        <w:rPr>
          <w:rFonts w:ascii="Bookman Old Style" w:hAnsi="Bookman Old Style"/>
          <w:sz w:val="28"/>
          <w:szCs w:val="28"/>
        </w:rPr>
        <w:tab/>
        <w:t>The Appellant was not sa</w:t>
      </w:r>
      <w:r w:rsidR="00D451DA">
        <w:rPr>
          <w:rFonts w:ascii="Bookman Old Style" w:hAnsi="Bookman Old Style"/>
          <w:sz w:val="28"/>
          <w:szCs w:val="28"/>
        </w:rPr>
        <w:t>tisfied with this Ruling</w:t>
      </w:r>
      <w:r w:rsidR="00A71C25">
        <w:rPr>
          <w:rFonts w:ascii="Bookman Old Style" w:hAnsi="Bookman Old Style"/>
          <w:sz w:val="28"/>
          <w:szCs w:val="28"/>
        </w:rPr>
        <w:t>.  It</w:t>
      </w:r>
      <w:r>
        <w:rPr>
          <w:rFonts w:ascii="Bookman Old Style" w:hAnsi="Bookman Old Style"/>
          <w:sz w:val="28"/>
          <w:szCs w:val="28"/>
        </w:rPr>
        <w:t xml:space="preserve"> filed a Memorandum of Appeal</w:t>
      </w:r>
      <w:r w:rsidR="00A71C25">
        <w:rPr>
          <w:rFonts w:ascii="Bookman Old Style" w:hAnsi="Bookman Old Style"/>
          <w:sz w:val="28"/>
          <w:szCs w:val="28"/>
        </w:rPr>
        <w:t xml:space="preserve"> containing seven</w:t>
      </w:r>
      <w:r w:rsidR="00784BF6">
        <w:rPr>
          <w:rFonts w:ascii="Bookman Old Style" w:hAnsi="Bookman Old Style"/>
          <w:sz w:val="28"/>
          <w:szCs w:val="28"/>
        </w:rPr>
        <w:t xml:space="preserve"> grounds.  These are</w:t>
      </w:r>
      <w:r w:rsidR="00A71C25">
        <w:rPr>
          <w:rFonts w:ascii="Bookman Old Style" w:hAnsi="Bookman Old Style"/>
          <w:sz w:val="28"/>
          <w:szCs w:val="28"/>
        </w:rPr>
        <w:t xml:space="preserve"> that</w:t>
      </w:r>
      <w:r w:rsidR="00784BF6">
        <w:rPr>
          <w:rFonts w:ascii="Bookman Old Style" w:hAnsi="Bookman Old Style"/>
          <w:sz w:val="28"/>
          <w:szCs w:val="28"/>
        </w:rPr>
        <w:t>:</w:t>
      </w:r>
    </w:p>
    <w:p w:rsidR="00784BF6" w:rsidRDefault="00784BF6" w:rsidP="00784BF6">
      <w:pPr>
        <w:pStyle w:val="NoSpacing"/>
        <w:ind w:left="1440" w:hanging="720"/>
        <w:jc w:val="both"/>
        <w:rPr>
          <w:rFonts w:ascii="Bookman Old Style" w:hAnsi="Bookman Old Style"/>
          <w:b/>
        </w:rPr>
      </w:pPr>
      <w:r>
        <w:rPr>
          <w:rFonts w:ascii="Bookman Old Style" w:hAnsi="Bookman Old Style"/>
          <w:b/>
        </w:rPr>
        <w:t>“1.</w:t>
      </w:r>
      <w:r>
        <w:rPr>
          <w:rFonts w:ascii="Bookman Old Style" w:hAnsi="Bookman Old Style"/>
          <w:b/>
        </w:rPr>
        <w:tab/>
        <w:t>Having found that the application for review was not necessary, the Court below misdirected itself in law when it proceeded to review and/or clarify the Consent Order dated 20</w:t>
      </w:r>
      <w:r w:rsidRPr="00784BF6">
        <w:rPr>
          <w:rFonts w:ascii="Bookman Old Style" w:hAnsi="Bookman Old Style"/>
          <w:b/>
          <w:vertAlign w:val="superscript"/>
        </w:rPr>
        <w:t>th</w:t>
      </w:r>
      <w:r>
        <w:rPr>
          <w:rFonts w:ascii="Bookman Old Style" w:hAnsi="Bookman Old Style"/>
          <w:b/>
        </w:rPr>
        <w:t xml:space="preserve"> October 1995;</w:t>
      </w:r>
    </w:p>
    <w:p w:rsidR="00784BF6" w:rsidRDefault="00784BF6" w:rsidP="00784BF6">
      <w:pPr>
        <w:pStyle w:val="NoSpacing"/>
        <w:ind w:left="1440" w:hanging="720"/>
        <w:jc w:val="both"/>
        <w:rPr>
          <w:rFonts w:ascii="Bookman Old Style" w:hAnsi="Bookman Old Style"/>
          <w:b/>
        </w:rPr>
      </w:pPr>
    </w:p>
    <w:p w:rsidR="00784BF6" w:rsidRDefault="00784BF6" w:rsidP="00784BF6">
      <w:pPr>
        <w:pStyle w:val="NoSpacing"/>
        <w:ind w:left="1440" w:hanging="720"/>
        <w:jc w:val="both"/>
        <w:rPr>
          <w:rFonts w:ascii="Bookman Old Style" w:hAnsi="Bookman Old Style"/>
          <w:b/>
        </w:rPr>
      </w:pPr>
      <w:r>
        <w:rPr>
          <w:rFonts w:ascii="Bookman Old Style" w:hAnsi="Bookman Old Style"/>
          <w:b/>
        </w:rPr>
        <w:t>2.</w:t>
      </w:r>
      <w:r>
        <w:rPr>
          <w:rFonts w:ascii="Bookman Old Style" w:hAnsi="Bookman Old Style"/>
          <w:b/>
        </w:rPr>
        <w:tab/>
        <w:t>The Court below misdirected itself in fact and in law when it held that the Appellant above named was not under receivership;</w:t>
      </w:r>
    </w:p>
    <w:p w:rsidR="00784BF6" w:rsidRDefault="00784BF6" w:rsidP="00784BF6">
      <w:pPr>
        <w:pStyle w:val="NoSpacing"/>
        <w:ind w:left="1440" w:hanging="720"/>
        <w:jc w:val="both"/>
        <w:rPr>
          <w:rFonts w:ascii="Bookman Old Style" w:hAnsi="Bookman Old Style"/>
          <w:b/>
        </w:rPr>
      </w:pPr>
    </w:p>
    <w:p w:rsidR="00CF4BD7" w:rsidRDefault="00784BF6" w:rsidP="00784BF6">
      <w:pPr>
        <w:pStyle w:val="NoSpacing"/>
        <w:ind w:left="1440" w:hanging="720"/>
        <w:jc w:val="both"/>
        <w:rPr>
          <w:rFonts w:ascii="Bookman Old Style" w:hAnsi="Bookman Old Style"/>
          <w:b/>
        </w:rPr>
      </w:pPr>
      <w:r>
        <w:rPr>
          <w:rFonts w:ascii="Bookman Old Style" w:hAnsi="Bookman Old Style"/>
          <w:b/>
        </w:rPr>
        <w:t>3.</w:t>
      </w:r>
      <w:r>
        <w:rPr>
          <w:rFonts w:ascii="Bookman Old Style" w:hAnsi="Bookman Old Style"/>
          <w:b/>
        </w:rPr>
        <w:tab/>
        <w:t xml:space="preserve">The Court below misdirected itself in law and in fact when it held that once the Appellant above-named was wound-up the role of the </w:t>
      </w:r>
    </w:p>
    <w:p w:rsidR="00CF4BD7" w:rsidRDefault="00CF4BD7" w:rsidP="00CF4BD7">
      <w:pPr>
        <w:pStyle w:val="NoSpacing"/>
        <w:ind w:left="1440" w:hanging="720"/>
        <w:jc w:val="right"/>
        <w:rPr>
          <w:rFonts w:ascii="Bookman Old Style" w:hAnsi="Bookman Old Style"/>
          <w:b/>
        </w:rPr>
      </w:pPr>
      <w:r>
        <w:rPr>
          <w:rFonts w:ascii="Bookman Old Style" w:hAnsi="Bookman Old Style"/>
          <w:b/>
        </w:rPr>
        <w:lastRenderedPageBreak/>
        <w:t>8</w:t>
      </w:r>
    </w:p>
    <w:p w:rsidR="00784BF6" w:rsidRDefault="00784BF6" w:rsidP="00CF4BD7">
      <w:pPr>
        <w:pStyle w:val="NoSpacing"/>
        <w:ind w:left="1440"/>
        <w:rPr>
          <w:rFonts w:ascii="Bookman Old Style" w:hAnsi="Bookman Old Style"/>
          <w:b/>
        </w:rPr>
      </w:pPr>
      <w:r>
        <w:rPr>
          <w:rFonts w:ascii="Bookman Old Style" w:hAnsi="Bookman Old Style"/>
          <w:b/>
        </w:rPr>
        <w:t>receiver/manager was to safeguard the interest of his principals through the liquidator;</w:t>
      </w:r>
    </w:p>
    <w:p w:rsidR="00784BF6" w:rsidRDefault="00784BF6" w:rsidP="00784BF6">
      <w:pPr>
        <w:pStyle w:val="NoSpacing"/>
        <w:ind w:left="1440" w:hanging="720"/>
        <w:jc w:val="both"/>
        <w:rPr>
          <w:rFonts w:ascii="Bookman Old Style" w:hAnsi="Bookman Old Style"/>
          <w:b/>
        </w:rPr>
      </w:pPr>
    </w:p>
    <w:p w:rsidR="00784BF6" w:rsidRDefault="00784BF6" w:rsidP="00784BF6">
      <w:pPr>
        <w:pStyle w:val="NoSpacing"/>
        <w:ind w:left="1440" w:hanging="720"/>
        <w:jc w:val="both"/>
        <w:rPr>
          <w:rFonts w:ascii="Bookman Old Style" w:hAnsi="Bookman Old Style"/>
          <w:b/>
        </w:rPr>
      </w:pPr>
      <w:r>
        <w:rPr>
          <w:rFonts w:ascii="Bookman Old Style" w:hAnsi="Bookman Old Style"/>
          <w:b/>
        </w:rPr>
        <w:t>4.</w:t>
      </w:r>
      <w:r>
        <w:rPr>
          <w:rFonts w:ascii="Bookman Old Style" w:hAnsi="Bookman Old Style"/>
          <w:b/>
        </w:rPr>
        <w:tab/>
        <w:t>The Court below misdirected itself in law and in fact when it held that the order under review did not vest the assets of the Company under the custody and control of the receiver/manager to the exclusion of the liquidator;</w:t>
      </w:r>
    </w:p>
    <w:p w:rsidR="00784BF6" w:rsidRDefault="00784BF6" w:rsidP="00784BF6">
      <w:pPr>
        <w:pStyle w:val="NoSpacing"/>
        <w:ind w:left="1440" w:hanging="720"/>
        <w:jc w:val="both"/>
        <w:rPr>
          <w:rFonts w:ascii="Bookman Old Style" w:hAnsi="Bookman Old Style"/>
          <w:b/>
        </w:rPr>
      </w:pPr>
    </w:p>
    <w:p w:rsidR="00784BF6" w:rsidRDefault="00784BF6" w:rsidP="00784BF6">
      <w:pPr>
        <w:pStyle w:val="NoSpacing"/>
        <w:ind w:left="1440" w:hanging="720"/>
        <w:jc w:val="both"/>
        <w:rPr>
          <w:rFonts w:ascii="Bookman Old Style" w:hAnsi="Bookman Old Style"/>
          <w:b/>
        </w:rPr>
      </w:pPr>
      <w:r>
        <w:rPr>
          <w:rFonts w:ascii="Bookman Old Style" w:hAnsi="Bookman Old Style"/>
          <w:b/>
        </w:rPr>
        <w:t>5.</w:t>
      </w:r>
      <w:r>
        <w:rPr>
          <w:rFonts w:ascii="Bookman Old Style" w:hAnsi="Bookman Old Style"/>
          <w:b/>
        </w:rPr>
        <w:tab/>
        <w:t>The Court below misdirected itself in law and fact when it held that the proceeds from the sale of some of the assets should have been paid to the debenture holder and not any creditor;</w:t>
      </w:r>
    </w:p>
    <w:p w:rsidR="00784BF6" w:rsidRDefault="00784BF6" w:rsidP="00784BF6">
      <w:pPr>
        <w:pStyle w:val="NoSpacing"/>
        <w:ind w:left="1440" w:hanging="720"/>
        <w:jc w:val="both"/>
        <w:rPr>
          <w:rFonts w:ascii="Bookman Old Style" w:hAnsi="Bookman Old Style"/>
          <w:b/>
        </w:rPr>
      </w:pPr>
    </w:p>
    <w:p w:rsidR="00784BF6" w:rsidRDefault="00784BF6" w:rsidP="00784BF6">
      <w:pPr>
        <w:pStyle w:val="NoSpacing"/>
        <w:ind w:left="1440" w:hanging="720"/>
        <w:jc w:val="both"/>
        <w:rPr>
          <w:rFonts w:ascii="Bookman Old Style" w:hAnsi="Bookman Old Style"/>
          <w:b/>
        </w:rPr>
      </w:pPr>
      <w:r>
        <w:rPr>
          <w:rFonts w:ascii="Bookman Old Style" w:hAnsi="Bookman Old Style"/>
          <w:b/>
        </w:rPr>
        <w:t>6.</w:t>
      </w:r>
      <w:r>
        <w:rPr>
          <w:rFonts w:ascii="Bookman Old Style" w:hAnsi="Bookman Old Style"/>
          <w:b/>
        </w:rPr>
        <w:tab/>
        <w:t>The Court below misdirected itself in law when it held that the role of a receiver/manager was to manage the affairs of an ‘on-going business concern’ in order to protect the interest of his principals;</w:t>
      </w:r>
    </w:p>
    <w:p w:rsidR="004D549F" w:rsidRDefault="004D549F" w:rsidP="00784BF6">
      <w:pPr>
        <w:pStyle w:val="NoSpacing"/>
        <w:ind w:left="1440" w:hanging="720"/>
        <w:jc w:val="both"/>
        <w:rPr>
          <w:rFonts w:ascii="Bookman Old Style" w:hAnsi="Bookman Old Style"/>
          <w:b/>
        </w:rPr>
      </w:pPr>
    </w:p>
    <w:p w:rsidR="000A3E09" w:rsidRDefault="004D549F" w:rsidP="00784BF6">
      <w:pPr>
        <w:pStyle w:val="NoSpacing"/>
        <w:ind w:left="1440" w:hanging="720"/>
        <w:jc w:val="both"/>
        <w:rPr>
          <w:rFonts w:ascii="Bookman Old Style" w:hAnsi="Bookman Old Style"/>
          <w:b/>
        </w:rPr>
      </w:pPr>
      <w:r>
        <w:rPr>
          <w:rFonts w:ascii="Bookman Old Style" w:hAnsi="Bookman Old Style"/>
          <w:b/>
        </w:rPr>
        <w:t>7.</w:t>
      </w:r>
      <w:r>
        <w:rPr>
          <w:rFonts w:ascii="Bookman Old Style" w:hAnsi="Bookman Old Style"/>
          <w:b/>
        </w:rPr>
        <w:tab/>
        <w:t xml:space="preserve">The Honourable Court below misdirected itself in law when it construed Section 286(1) of the Companies Act Cap 388 of the Laws of Zambia to mean ‘that the control of assets of a liquidated company is in the liquidator and not the receiver/manager.’ (SIC)”  </w:t>
      </w:r>
    </w:p>
    <w:p w:rsidR="000A3E09" w:rsidRDefault="000A3E09" w:rsidP="000A3E09">
      <w:pPr>
        <w:pStyle w:val="NoSpacing"/>
        <w:jc w:val="both"/>
        <w:rPr>
          <w:rFonts w:ascii="Bookman Old Style" w:hAnsi="Bookman Old Style"/>
          <w:b/>
        </w:rPr>
      </w:pPr>
    </w:p>
    <w:p w:rsidR="00441C6D" w:rsidRDefault="000A3E09" w:rsidP="000A3E09">
      <w:pPr>
        <w:pStyle w:val="NoSpacing"/>
        <w:spacing w:line="480" w:lineRule="auto"/>
        <w:jc w:val="both"/>
        <w:rPr>
          <w:rFonts w:ascii="Bookman Old Style" w:hAnsi="Bookman Old Style"/>
          <w:sz w:val="28"/>
          <w:szCs w:val="28"/>
        </w:rPr>
      </w:pPr>
      <w:r w:rsidRPr="000A3E09">
        <w:rPr>
          <w:rFonts w:ascii="Bookman Old Style" w:hAnsi="Bookman Old Style"/>
          <w:sz w:val="28"/>
          <w:szCs w:val="28"/>
        </w:rPr>
        <w:t>The learned Counsel for the Appellant filed</w:t>
      </w:r>
      <w:r>
        <w:rPr>
          <w:rFonts w:ascii="Bookman Old Style" w:hAnsi="Bookman Old Style"/>
          <w:sz w:val="28"/>
          <w:szCs w:val="28"/>
        </w:rPr>
        <w:t xml:space="preserve"> detailed heads of arguments in support of the grounds of appeal</w:t>
      </w:r>
      <w:r w:rsidR="00441C6D">
        <w:rPr>
          <w:rFonts w:ascii="Bookman Old Style" w:hAnsi="Bookman Old Style"/>
          <w:sz w:val="28"/>
          <w:szCs w:val="28"/>
        </w:rPr>
        <w:t xml:space="preserve"> which he augmented with oral arguments.  </w:t>
      </w:r>
    </w:p>
    <w:p w:rsidR="00CF4BD7" w:rsidRDefault="00441C6D" w:rsidP="00D451DA">
      <w:pPr>
        <w:pStyle w:val="NoSpacing"/>
        <w:spacing w:line="480" w:lineRule="auto"/>
        <w:ind w:firstLine="720"/>
        <w:jc w:val="both"/>
        <w:rPr>
          <w:rFonts w:ascii="Bookman Old Style" w:hAnsi="Bookman Old Style"/>
          <w:sz w:val="28"/>
          <w:szCs w:val="28"/>
        </w:rPr>
      </w:pPr>
      <w:r>
        <w:rPr>
          <w:rFonts w:ascii="Bookman Old Style" w:hAnsi="Bookman Old Style"/>
          <w:sz w:val="28"/>
          <w:szCs w:val="28"/>
        </w:rPr>
        <w:t>The Respondents, on the other hand</w:t>
      </w:r>
      <w:r w:rsidR="00204348">
        <w:rPr>
          <w:rFonts w:ascii="Bookman Old Style" w:hAnsi="Bookman Old Style"/>
          <w:sz w:val="28"/>
          <w:szCs w:val="28"/>
        </w:rPr>
        <w:t>,</w:t>
      </w:r>
      <w:r>
        <w:rPr>
          <w:rFonts w:ascii="Bookman Old Style" w:hAnsi="Bookman Old Style"/>
          <w:sz w:val="28"/>
          <w:szCs w:val="28"/>
        </w:rPr>
        <w:t xml:space="preserve"> have conceded to all the seven grounds of appeal.  In their heads of argument</w:t>
      </w:r>
      <w:r w:rsidR="00D451DA">
        <w:rPr>
          <w:rFonts w:ascii="Bookman Old Style" w:hAnsi="Bookman Old Style"/>
          <w:sz w:val="28"/>
          <w:szCs w:val="28"/>
        </w:rPr>
        <w:t>,</w:t>
      </w:r>
      <w:r>
        <w:rPr>
          <w:rFonts w:ascii="Bookman Old Style" w:hAnsi="Bookman Old Style"/>
          <w:sz w:val="28"/>
          <w:szCs w:val="28"/>
        </w:rPr>
        <w:t xml:space="preserve"> they state that this appeal is nugatory in that the subject matter asset has been sold off and the Bank was paid its moneys.  In a supplementary record of appeal, they have produced a copy of a Memorandum of Discharge evidencing this fact.</w:t>
      </w:r>
      <w:r w:rsidR="00D451DA">
        <w:rPr>
          <w:rFonts w:ascii="Bookman Old Style" w:hAnsi="Bookman Old Style"/>
          <w:sz w:val="28"/>
          <w:szCs w:val="28"/>
        </w:rPr>
        <w:t xml:space="preserve">  In the circumstances,</w:t>
      </w:r>
      <w:r>
        <w:rPr>
          <w:rFonts w:ascii="Bookman Old Style" w:hAnsi="Bookman Old Style"/>
          <w:sz w:val="28"/>
          <w:szCs w:val="28"/>
        </w:rPr>
        <w:t xml:space="preserve"> the parties should have executed and filed a Consent O</w:t>
      </w:r>
      <w:r w:rsidR="00D451DA">
        <w:rPr>
          <w:rFonts w:ascii="Bookman Old Style" w:hAnsi="Bookman Old Style"/>
          <w:sz w:val="28"/>
          <w:szCs w:val="28"/>
        </w:rPr>
        <w:t xml:space="preserve">rder allowing the appeal.  </w:t>
      </w:r>
      <w:r>
        <w:rPr>
          <w:rFonts w:ascii="Bookman Old Style" w:hAnsi="Bookman Old Style"/>
          <w:sz w:val="28"/>
          <w:szCs w:val="28"/>
        </w:rPr>
        <w:t>Mr. MUBONDA, the learned</w:t>
      </w:r>
      <w:r w:rsidR="00D451DA">
        <w:rPr>
          <w:rFonts w:ascii="Bookman Old Style" w:hAnsi="Bookman Old Style"/>
          <w:sz w:val="28"/>
          <w:szCs w:val="28"/>
        </w:rPr>
        <w:t xml:space="preserve"> </w:t>
      </w:r>
    </w:p>
    <w:p w:rsidR="00CF4BD7" w:rsidRDefault="00CF4BD7" w:rsidP="00CF4BD7">
      <w:pPr>
        <w:pStyle w:val="NoSpacing"/>
        <w:spacing w:line="480" w:lineRule="auto"/>
        <w:jc w:val="right"/>
        <w:rPr>
          <w:rFonts w:ascii="Bookman Old Style" w:hAnsi="Bookman Old Style"/>
          <w:sz w:val="28"/>
          <w:szCs w:val="28"/>
        </w:rPr>
      </w:pPr>
      <w:r>
        <w:rPr>
          <w:rFonts w:ascii="Bookman Old Style" w:hAnsi="Bookman Old Style"/>
          <w:sz w:val="28"/>
          <w:szCs w:val="28"/>
        </w:rPr>
        <w:lastRenderedPageBreak/>
        <w:t>9</w:t>
      </w:r>
    </w:p>
    <w:p w:rsidR="0063261E" w:rsidRDefault="00D451DA" w:rsidP="00CF4BD7">
      <w:pPr>
        <w:pStyle w:val="NoSpacing"/>
        <w:spacing w:line="480" w:lineRule="auto"/>
        <w:jc w:val="both"/>
        <w:rPr>
          <w:rFonts w:ascii="Bookman Old Style" w:hAnsi="Bookman Old Style"/>
          <w:sz w:val="28"/>
          <w:szCs w:val="28"/>
        </w:rPr>
      </w:pPr>
      <w:r>
        <w:rPr>
          <w:rFonts w:ascii="Bookman Old Style" w:hAnsi="Bookman Old Style"/>
          <w:sz w:val="28"/>
          <w:szCs w:val="28"/>
        </w:rPr>
        <w:t>Counsel for the Appellant, informed the Court</w:t>
      </w:r>
      <w:r w:rsidR="00204348">
        <w:rPr>
          <w:rFonts w:ascii="Bookman Old Style" w:hAnsi="Bookman Old Style"/>
          <w:sz w:val="28"/>
          <w:szCs w:val="28"/>
        </w:rPr>
        <w:t>, however,</w:t>
      </w:r>
      <w:r>
        <w:rPr>
          <w:rFonts w:ascii="Bookman Old Style" w:hAnsi="Bookman Old Style"/>
          <w:sz w:val="28"/>
          <w:szCs w:val="28"/>
        </w:rPr>
        <w:t xml:space="preserve"> that they</w:t>
      </w:r>
      <w:r w:rsidR="00441C6D">
        <w:rPr>
          <w:rFonts w:ascii="Bookman Old Style" w:hAnsi="Bookman Old Style"/>
          <w:sz w:val="28"/>
          <w:szCs w:val="28"/>
        </w:rPr>
        <w:t xml:space="preserve"> tried to get the Respondents to enter into a Consent Order, but they</w:t>
      </w:r>
      <w:r w:rsidR="00204348">
        <w:rPr>
          <w:rFonts w:ascii="Bookman Old Style" w:hAnsi="Bookman Old Style"/>
          <w:sz w:val="28"/>
          <w:szCs w:val="28"/>
        </w:rPr>
        <w:t xml:space="preserve"> were spurned</w:t>
      </w:r>
      <w:r w:rsidR="00441C6D">
        <w:rPr>
          <w:rFonts w:ascii="Bookman Old Style" w:hAnsi="Bookman Old Style"/>
          <w:sz w:val="28"/>
          <w:szCs w:val="28"/>
        </w:rPr>
        <w:t xml:space="preserve">.  This, in our view, is most unfortunate because </w:t>
      </w:r>
      <w:r>
        <w:rPr>
          <w:rFonts w:ascii="Bookman Old Style" w:hAnsi="Bookman Old Style"/>
          <w:sz w:val="28"/>
          <w:szCs w:val="28"/>
        </w:rPr>
        <w:t xml:space="preserve">the concession by the Respondents means that </w:t>
      </w:r>
      <w:r w:rsidR="00441C6D">
        <w:rPr>
          <w:rFonts w:ascii="Bookman Old Style" w:hAnsi="Bookman Old Style"/>
          <w:sz w:val="28"/>
          <w:szCs w:val="28"/>
        </w:rPr>
        <w:t xml:space="preserve">there is no dispute between the parties.  </w:t>
      </w:r>
      <w:r w:rsidR="001E58AB">
        <w:rPr>
          <w:rFonts w:ascii="Bookman Old Style" w:hAnsi="Bookman Old Style"/>
          <w:sz w:val="28"/>
          <w:szCs w:val="28"/>
        </w:rPr>
        <w:t>On this account, the appeal is allowed.</w:t>
      </w:r>
    </w:p>
    <w:p w:rsidR="0063261E" w:rsidRDefault="0063261E" w:rsidP="0063261E">
      <w:pPr>
        <w:pStyle w:val="NoSpacing"/>
        <w:spacing w:line="480" w:lineRule="auto"/>
        <w:ind w:firstLine="720"/>
        <w:jc w:val="both"/>
        <w:rPr>
          <w:rFonts w:ascii="Bookman Old Style" w:hAnsi="Bookman Old Style"/>
          <w:sz w:val="28"/>
          <w:szCs w:val="28"/>
        </w:rPr>
      </w:pPr>
      <w:r>
        <w:rPr>
          <w:rFonts w:ascii="Bookman Old Style" w:hAnsi="Bookman Old Style"/>
          <w:sz w:val="28"/>
          <w:szCs w:val="28"/>
        </w:rPr>
        <w:t>We however, feel obliged to pronounce ourselves on some of the views expressed by the Judge in the lower Court.  The main issue in contention relates to the powers of</w:t>
      </w:r>
      <w:r w:rsidR="00233DFE">
        <w:rPr>
          <w:rFonts w:ascii="Bookman Old Style" w:hAnsi="Bookman Old Style"/>
          <w:sz w:val="28"/>
          <w:szCs w:val="28"/>
        </w:rPr>
        <w:t xml:space="preserve"> a</w:t>
      </w:r>
      <w:r>
        <w:rPr>
          <w:rFonts w:ascii="Bookman Old Style" w:hAnsi="Bookman Old Style"/>
          <w:sz w:val="28"/>
          <w:szCs w:val="28"/>
        </w:rPr>
        <w:t xml:space="preserve"> receiver and a liquidator</w:t>
      </w:r>
      <w:r w:rsidR="00233DFE">
        <w:rPr>
          <w:rFonts w:ascii="Bookman Old Style" w:hAnsi="Bookman Old Style"/>
          <w:sz w:val="28"/>
          <w:szCs w:val="28"/>
        </w:rPr>
        <w:t xml:space="preserve"> in a company undergoing liquidation</w:t>
      </w:r>
      <w:r>
        <w:rPr>
          <w:rFonts w:ascii="Bookman Old Style" w:hAnsi="Bookman Old Style"/>
          <w:sz w:val="28"/>
          <w:szCs w:val="28"/>
        </w:rPr>
        <w:t>.  The dispute in this case is between the receiver/manager appointed by the debenture holder, the Zambia National Commercial Bank and a liquidator appointed by the Court, pursuant to a petition for winding up filed by the 1</w:t>
      </w:r>
      <w:r w:rsidRPr="0063261E">
        <w:rPr>
          <w:rFonts w:ascii="Bookman Old Style" w:hAnsi="Bookman Old Style"/>
          <w:sz w:val="28"/>
          <w:szCs w:val="28"/>
          <w:vertAlign w:val="superscript"/>
        </w:rPr>
        <w:t>st</w:t>
      </w:r>
      <w:r w:rsidR="00233DFE">
        <w:rPr>
          <w:rFonts w:ascii="Bookman Old Style" w:hAnsi="Bookman Old Style"/>
          <w:sz w:val="28"/>
          <w:szCs w:val="28"/>
        </w:rPr>
        <w:t xml:space="preserve"> to the</w:t>
      </w:r>
      <w:r>
        <w:rPr>
          <w:rFonts w:ascii="Bookman Old Style" w:hAnsi="Bookman Old Style"/>
          <w:sz w:val="28"/>
          <w:szCs w:val="28"/>
        </w:rPr>
        <w:t xml:space="preserve"> 4</w:t>
      </w:r>
      <w:r w:rsidRPr="0063261E">
        <w:rPr>
          <w:rFonts w:ascii="Bookman Old Style" w:hAnsi="Bookman Old Style"/>
          <w:sz w:val="28"/>
          <w:szCs w:val="28"/>
          <w:vertAlign w:val="superscript"/>
        </w:rPr>
        <w:t>th</w:t>
      </w:r>
      <w:r>
        <w:rPr>
          <w:rFonts w:ascii="Bookman Old Style" w:hAnsi="Bookman Old Style"/>
          <w:sz w:val="28"/>
          <w:szCs w:val="28"/>
        </w:rPr>
        <w:t xml:space="preserve"> Respondents.  The question that arose for determination was this:  </w:t>
      </w:r>
      <w:r w:rsidRPr="0063261E">
        <w:rPr>
          <w:rFonts w:ascii="Bookman Old Style" w:hAnsi="Bookman Old Style"/>
          <w:b/>
          <w:sz w:val="28"/>
          <w:szCs w:val="28"/>
        </w:rPr>
        <w:t>Who should have custody of the assets of the Appellant Company between the receiver/manager and the liquidator</w:t>
      </w:r>
      <w:r>
        <w:rPr>
          <w:rFonts w:ascii="Bookman Old Style" w:hAnsi="Bookman Old Style"/>
          <w:b/>
          <w:sz w:val="28"/>
          <w:szCs w:val="28"/>
        </w:rPr>
        <w:t>?</w:t>
      </w:r>
    </w:p>
    <w:p w:rsidR="00CF4BD7" w:rsidRDefault="0063261E" w:rsidP="0063261E">
      <w:pPr>
        <w:pStyle w:val="NoSpacing"/>
        <w:spacing w:line="480" w:lineRule="auto"/>
        <w:ind w:firstLine="720"/>
        <w:jc w:val="both"/>
        <w:rPr>
          <w:rFonts w:ascii="Bookman Old Style" w:hAnsi="Bookman Old Style"/>
          <w:sz w:val="28"/>
          <w:szCs w:val="28"/>
        </w:rPr>
      </w:pPr>
      <w:r>
        <w:rPr>
          <w:rFonts w:ascii="Bookman Old Style" w:hAnsi="Bookman Old Style"/>
          <w:sz w:val="28"/>
          <w:szCs w:val="28"/>
        </w:rPr>
        <w:t xml:space="preserve">The learned </w:t>
      </w:r>
      <w:r w:rsidR="002C03F9">
        <w:rPr>
          <w:rFonts w:ascii="Bookman Old Style" w:hAnsi="Bookman Old Style"/>
          <w:sz w:val="28"/>
          <w:szCs w:val="28"/>
        </w:rPr>
        <w:t>Counsel</w:t>
      </w:r>
      <w:r>
        <w:rPr>
          <w:rFonts w:ascii="Bookman Old Style" w:hAnsi="Bookman Old Style"/>
          <w:sz w:val="28"/>
          <w:szCs w:val="28"/>
        </w:rPr>
        <w:t xml:space="preserve"> for the Appellant</w:t>
      </w:r>
      <w:r w:rsidR="002C03F9">
        <w:rPr>
          <w:rFonts w:ascii="Bookman Old Style" w:hAnsi="Bookman Old Style"/>
          <w:sz w:val="28"/>
          <w:szCs w:val="28"/>
        </w:rPr>
        <w:t xml:space="preserve"> submitted that the position taken by the Court below</w:t>
      </w:r>
      <w:r>
        <w:rPr>
          <w:rFonts w:ascii="Bookman Old Style" w:hAnsi="Bookman Old Style"/>
          <w:sz w:val="28"/>
          <w:szCs w:val="28"/>
        </w:rPr>
        <w:t>,</w:t>
      </w:r>
      <w:r w:rsidR="002C03F9">
        <w:rPr>
          <w:rFonts w:ascii="Bookman Old Style" w:hAnsi="Bookman Old Style"/>
          <w:sz w:val="28"/>
          <w:szCs w:val="28"/>
        </w:rPr>
        <w:t xml:space="preserve"> that once </w:t>
      </w:r>
      <w:r w:rsidR="009B77E7">
        <w:rPr>
          <w:rFonts w:ascii="Bookman Old Style" w:hAnsi="Bookman Old Style"/>
          <w:sz w:val="28"/>
          <w:szCs w:val="28"/>
        </w:rPr>
        <w:t>t</w:t>
      </w:r>
      <w:r w:rsidR="002C03F9">
        <w:rPr>
          <w:rFonts w:ascii="Bookman Old Style" w:hAnsi="Bookman Old Style"/>
          <w:sz w:val="28"/>
          <w:szCs w:val="28"/>
        </w:rPr>
        <w:t xml:space="preserve">he Appellant Company was wound up, the role of </w:t>
      </w:r>
      <w:r w:rsidR="00233DFE">
        <w:rPr>
          <w:rFonts w:ascii="Bookman Old Style" w:hAnsi="Bookman Old Style"/>
          <w:sz w:val="28"/>
          <w:szCs w:val="28"/>
        </w:rPr>
        <w:t xml:space="preserve">the </w:t>
      </w:r>
      <w:r w:rsidR="002C03F9">
        <w:rPr>
          <w:rFonts w:ascii="Bookman Old Style" w:hAnsi="Bookman Old Style"/>
          <w:sz w:val="28"/>
          <w:szCs w:val="28"/>
        </w:rPr>
        <w:t xml:space="preserve">receiver/manager was to </w:t>
      </w:r>
    </w:p>
    <w:p w:rsidR="00CF4BD7" w:rsidRDefault="00CF4BD7" w:rsidP="00CF4BD7">
      <w:pPr>
        <w:pStyle w:val="NoSpacing"/>
        <w:spacing w:line="480" w:lineRule="auto"/>
        <w:jc w:val="right"/>
        <w:rPr>
          <w:rFonts w:ascii="Bookman Old Style" w:hAnsi="Bookman Old Style"/>
          <w:sz w:val="28"/>
          <w:szCs w:val="28"/>
        </w:rPr>
      </w:pPr>
      <w:r>
        <w:rPr>
          <w:rFonts w:ascii="Bookman Old Style" w:hAnsi="Bookman Old Style"/>
          <w:sz w:val="28"/>
          <w:szCs w:val="28"/>
        </w:rPr>
        <w:lastRenderedPageBreak/>
        <w:t>10</w:t>
      </w:r>
    </w:p>
    <w:p w:rsidR="008D22A7" w:rsidRPr="00426C05" w:rsidRDefault="002C03F9" w:rsidP="00CF4BD7">
      <w:pPr>
        <w:pStyle w:val="NoSpacing"/>
        <w:spacing w:line="480" w:lineRule="auto"/>
        <w:jc w:val="both"/>
        <w:rPr>
          <w:rFonts w:ascii="Bookman Old Style" w:hAnsi="Bookman Old Style"/>
          <w:sz w:val="28"/>
          <w:szCs w:val="28"/>
        </w:rPr>
      </w:pPr>
      <w:r>
        <w:rPr>
          <w:rFonts w:ascii="Bookman Old Style" w:hAnsi="Bookman Old Style"/>
          <w:sz w:val="28"/>
          <w:szCs w:val="28"/>
        </w:rPr>
        <w:t>support the interest of his principals through the liquidator</w:t>
      </w:r>
      <w:r w:rsidR="0063261E">
        <w:rPr>
          <w:rFonts w:ascii="Bookman Old Style" w:hAnsi="Bookman Old Style"/>
          <w:sz w:val="28"/>
          <w:szCs w:val="28"/>
        </w:rPr>
        <w:t>,</w:t>
      </w:r>
      <w:r>
        <w:rPr>
          <w:rFonts w:ascii="Bookman Old Style" w:hAnsi="Bookman Old Style"/>
          <w:sz w:val="28"/>
          <w:szCs w:val="28"/>
        </w:rPr>
        <w:t xml:space="preserve"> is contrary to the position of the law in this area.  He submitted that the relationship between the receiver/manager on one hand and the liquidator on the other, is aptly propounded by </w:t>
      </w:r>
      <w:r w:rsidRPr="00FB1D43">
        <w:rPr>
          <w:rFonts w:ascii="Bookman Old Style" w:hAnsi="Bookman Old Style"/>
          <w:b/>
          <w:sz w:val="28"/>
          <w:szCs w:val="28"/>
        </w:rPr>
        <w:t xml:space="preserve">LIGHTMAN </w:t>
      </w:r>
      <w:r w:rsidR="0063261E">
        <w:rPr>
          <w:rFonts w:ascii="Bookman Old Style" w:hAnsi="Bookman Old Style"/>
          <w:b/>
          <w:sz w:val="28"/>
          <w:szCs w:val="28"/>
        </w:rPr>
        <w:t>+</w:t>
      </w:r>
      <w:r w:rsidR="00FB1D43" w:rsidRPr="00FB1D43">
        <w:rPr>
          <w:rFonts w:ascii="Bookman Old Style" w:hAnsi="Bookman Old Style"/>
          <w:b/>
          <w:sz w:val="28"/>
          <w:szCs w:val="28"/>
        </w:rPr>
        <w:t xml:space="preserve"> MOSS</w:t>
      </w:r>
      <w:r w:rsidR="00FB1D43">
        <w:rPr>
          <w:rFonts w:ascii="Bookman Old Style" w:hAnsi="Bookman Old Style"/>
          <w:sz w:val="28"/>
          <w:szCs w:val="28"/>
        </w:rPr>
        <w:t xml:space="preserve"> in their book </w:t>
      </w:r>
      <w:r w:rsidR="00FB1D43" w:rsidRPr="00FB1D43">
        <w:rPr>
          <w:rFonts w:ascii="Bookman Old Style" w:hAnsi="Bookman Old Style"/>
          <w:b/>
          <w:sz w:val="28"/>
          <w:szCs w:val="28"/>
        </w:rPr>
        <w:t>THE LAW OF RECEIVERS OF COMPANIES</w:t>
      </w:r>
      <w:r w:rsidR="0063261E">
        <w:rPr>
          <w:rFonts w:ascii="Bookman Old Style" w:hAnsi="Bookman Old Style"/>
          <w:b/>
          <w:sz w:val="28"/>
          <w:szCs w:val="28"/>
        </w:rPr>
        <w:t>²</w:t>
      </w:r>
      <w:r w:rsidR="00FB1D43" w:rsidRPr="00FB1D43">
        <w:rPr>
          <w:rFonts w:ascii="Bookman Old Style" w:hAnsi="Bookman Old Style"/>
          <w:b/>
          <w:sz w:val="28"/>
          <w:szCs w:val="28"/>
        </w:rPr>
        <w:t xml:space="preserve">, </w:t>
      </w:r>
      <w:r w:rsidR="00426C05">
        <w:rPr>
          <w:rFonts w:ascii="Bookman Old Style" w:hAnsi="Bookman Old Style"/>
          <w:sz w:val="28"/>
          <w:szCs w:val="28"/>
        </w:rPr>
        <w:t>wherein it is stated</w:t>
      </w:r>
      <w:r w:rsidR="00FB1D43">
        <w:rPr>
          <w:rFonts w:ascii="Bookman Old Style" w:hAnsi="Bookman Old Style"/>
          <w:sz w:val="28"/>
          <w:szCs w:val="28"/>
        </w:rPr>
        <w:t xml:space="preserve">:  </w:t>
      </w:r>
      <w:r w:rsidR="00FB1D43" w:rsidRPr="00524736">
        <w:rPr>
          <w:rFonts w:ascii="Bookman Old Style" w:hAnsi="Bookman Old Style"/>
          <w:b/>
          <w:i/>
          <w:sz w:val="28"/>
          <w:szCs w:val="28"/>
        </w:rPr>
        <w:t xml:space="preserve">“….generally speaking, during the period of any </w:t>
      </w:r>
      <w:r w:rsidR="00524736" w:rsidRPr="00524736">
        <w:rPr>
          <w:rFonts w:ascii="Bookman Old Style" w:hAnsi="Bookman Old Style"/>
          <w:b/>
          <w:i/>
          <w:sz w:val="28"/>
          <w:szCs w:val="28"/>
        </w:rPr>
        <w:t>receivership of a company in liquidation, the receiver’s administration takes precedence and a liquidator has a secondary role.  This is the case whether the receiver is appointed before or after the commencement of winding-up.”</w:t>
      </w:r>
      <w:r w:rsidRPr="00524736">
        <w:rPr>
          <w:rFonts w:ascii="Bookman Old Style" w:hAnsi="Bookman Old Style"/>
          <w:b/>
          <w:i/>
          <w:sz w:val="28"/>
          <w:szCs w:val="28"/>
        </w:rPr>
        <w:t xml:space="preserve"> </w:t>
      </w:r>
      <w:r w:rsidR="004D549F" w:rsidRPr="00524736">
        <w:rPr>
          <w:rFonts w:ascii="Bookman Old Style" w:hAnsi="Bookman Old Style"/>
          <w:b/>
          <w:i/>
          <w:sz w:val="28"/>
          <w:szCs w:val="28"/>
        </w:rPr>
        <w:t xml:space="preserve"> </w:t>
      </w:r>
      <w:r w:rsidR="00524736">
        <w:rPr>
          <w:rFonts w:ascii="Bookman Old Style" w:hAnsi="Bookman Old Style"/>
          <w:sz w:val="28"/>
          <w:szCs w:val="28"/>
        </w:rPr>
        <w:t xml:space="preserve"> Counsel also referred to a book</w:t>
      </w:r>
      <w:r w:rsidR="00C24EF8">
        <w:rPr>
          <w:rFonts w:ascii="Bookman Old Style" w:hAnsi="Bookman Old Style"/>
          <w:sz w:val="28"/>
          <w:szCs w:val="28"/>
        </w:rPr>
        <w:t xml:space="preserve"> by Hurbert PICARDA</w:t>
      </w:r>
      <w:r w:rsidR="004753A3">
        <w:rPr>
          <w:rFonts w:ascii="Bookman Old Style" w:hAnsi="Bookman Old Style"/>
          <w:sz w:val="28"/>
          <w:szCs w:val="28"/>
        </w:rPr>
        <w:t>,</w:t>
      </w:r>
      <w:r w:rsidR="00C24EF8">
        <w:rPr>
          <w:rFonts w:ascii="Bookman Old Style" w:hAnsi="Bookman Old Style"/>
          <w:sz w:val="28"/>
          <w:szCs w:val="28"/>
        </w:rPr>
        <w:t xml:space="preserve"> entitled </w:t>
      </w:r>
      <w:r w:rsidR="00C24EF8" w:rsidRPr="00C24EF8">
        <w:rPr>
          <w:rFonts w:ascii="Bookman Old Style" w:hAnsi="Bookman Old Style"/>
          <w:b/>
          <w:sz w:val="28"/>
          <w:szCs w:val="28"/>
        </w:rPr>
        <w:t>THE LAW RELATING TO RECEIVERS AND MANAGERS</w:t>
      </w:r>
      <w:r w:rsidR="0063261E">
        <w:rPr>
          <w:rFonts w:ascii="Bookman Old Style" w:hAnsi="Bookman Old Style"/>
          <w:b/>
          <w:sz w:val="28"/>
          <w:szCs w:val="28"/>
        </w:rPr>
        <w:t>³</w:t>
      </w:r>
      <w:r w:rsidR="00C24EF8" w:rsidRPr="00C24EF8">
        <w:rPr>
          <w:rFonts w:ascii="Bookman Old Style" w:hAnsi="Bookman Old Style"/>
          <w:b/>
          <w:sz w:val="28"/>
          <w:szCs w:val="28"/>
        </w:rPr>
        <w:t xml:space="preserve"> </w:t>
      </w:r>
      <w:r w:rsidR="00426C05" w:rsidRPr="00426C05">
        <w:rPr>
          <w:rFonts w:ascii="Bookman Old Style" w:hAnsi="Bookman Old Style"/>
          <w:sz w:val="28"/>
          <w:szCs w:val="28"/>
        </w:rPr>
        <w:t>in which it is stated, inter alia, that</w:t>
      </w:r>
      <w:r w:rsidR="00C24EF8" w:rsidRPr="00426C05">
        <w:rPr>
          <w:rFonts w:ascii="Bookman Old Style" w:hAnsi="Bookman Old Style"/>
          <w:sz w:val="28"/>
          <w:szCs w:val="28"/>
        </w:rPr>
        <w:t xml:space="preserve">: </w:t>
      </w:r>
    </w:p>
    <w:p w:rsidR="00B140C4" w:rsidRDefault="00C24EF8" w:rsidP="008D22A7">
      <w:pPr>
        <w:pStyle w:val="NoSpacing"/>
        <w:ind w:left="720"/>
        <w:jc w:val="both"/>
        <w:rPr>
          <w:rFonts w:ascii="Bookman Old Style" w:hAnsi="Bookman Old Style"/>
          <w:b/>
        </w:rPr>
      </w:pPr>
      <w:r w:rsidRPr="008D22A7">
        <w:rPr>
          <w:rFonts w:ascii="Bookman Old Style" w:hAnsi="Bookman Old Style"/>
          <w:b/>
          <w:sz w:val="28"/>
          <w:szCs w:val="28"/>
        </w:rPr>
        <w:t>“</w:t>
      </w:r>
      <w:r w:rsidR="00426C05">
        <w:rPr>
          <w:rFonts w:ascii="Bookman Old Style" w:hAnsi="Bookman Old Style"/>
          <w:b/>
        </w:rPr>
        <w:t>While a compulsory winding up o</w:t>
      </w:r>
      <w:r w:rsidRPr="008D22A7">
        <w:rPr>
          <w:rFonts w:ascii="Bookman Old Style" w:hAnsi="Bookman Old Style"/>
          <w:b/>
        </w:rPr>
        <w:t>rder or the commenc</w:t>
      </w:r>
      <w:r w:rsidR="008D22A7">
        <w:rPr>
          <w:rFonts w:ascii="Bookman Old Style" w:hAnsi="Bookman Old Style"/>
          <w:b/>
        </w:rPr>
        <w:t>ement of a voluntary winding up</w:t>
      </w:r>
      <w:r w:rsidRPr="008D22A7">
        <w:rPr>
          <w:rFonts w:ascii="Bookman Old Style" w:hAnsi="Bookman Old Style"/>
          <w:b/>
        </w:rPr>
        <w:t xml:space="preserve"> brings about a cesser of the age</w:t>
      </w:r>
      <w:r w:rsidR="008D22A7">
        <w:rPr>
          <w:rFonts w:ascii="Bookman Old Style" w:hAnsi="Bookman Old Style"/>
          <w:b/>
        </w:rPr>
        <w:t>ncy of the receiver and manager</w:t>
      </w:r>
      <w:r w:rsidRPr="008D22A7">
        <w:rPr>
          <w:rFonts w:ascii="Bookman Old Style" w:hAnsi="Bookman Old Style"/>
          <w:b/>
        </w:rPr>
        <w:t xml:space="preserve">, some of his powers survive the death of his agency.  He may continue the company’s business, though not so as to impose fresh liabilities on the company.  He is of course entitled to take possession of the assets comprised in the debenture, and so that power remains.  He may continue to get </w:t>
      </w:r>
      <w:r w:rsidR="008D22A7">
        <w:rPr>
          <w:rFonts w:ascii="Bookman Old Style" w:hAnsi="Bookman Old Style"/>
          <w:b/>
        </w:rPr>
        <w:t>in and realize all the company’s assets both real and personal comprised in the debenture.”</w:t>
      </w:r>
    </w:p>
    <w:p w:rsidR="00B140C4" w:rsidRDefault="00B140C4" w:rsidP="008D22A7">
      <w:pPr>
        <w:pStyle w:val="NoSpacing"/>
        <w:ind w:left="720"/>
        <w:jc w:val="both"/>
        <w:rPr>
          <w:rFonts w:ascii="Bookman Old Style" w:hAnsi="Bookman Old Style"/>
          <w:b/>
          <w:i/>
        </w:rPr>
      </w:pPr>
    </w:p>
    <w:p w:rsidR="00CF4BD7" w:rsidRDefault="00B140C4" w:rsidP="009661DD">
      <w:pPr>
        <w:pStyle w:val="NoSpacing"/>
        <w:spacing w:line="480" w:lineRule="auto"/>
        <w:ind w:firstLine="720"/>
        <w:jc w:val="both"/>
        <w:rPr>
          <w:rFonts w:ascii="Bookman Old Style" w:hAnsi="Bookman Old Style"/>
          <w:sz w:val="28"/>
          <w:szCs w:val="28"/>
        </w:rPr>
      </w:pPr>
      <w:r>
        <w:rPr>
          <w:rFonts w:ascii="Bookman Old Style" w:hAnsi="Bookman Old Style"/>
          <w:sz w:val="28"/>
          <w:szCs w:val="28"/>
        </w:rPr>
        <w:t xml:space="preserve">Counsel submitted that the Appellant executed a debenture with Zambia National Commercial Bank under which there was a </w:t>
      </w:r>
    </w:p>
    <w:p w:rsidR="00CF4BD7" w:rsidRDefault="00CF4BD7" w:rsidP="00CF4BD7">
      <w:pPr>
        <w:pStyle w:val="NoSpacing"/>
        <w:spacing w:line="480" w:lineRule="auto"/>
        <w:jc w:val="right"/>
        <w:rPr>
          <w:rFonts w:ascii="Bookman Old Style" w:hAnsi="Bookman Old Style"/>
          <w:sz w:val="28"/>
          <w:szCs w:val="28"/>
        </w:rPr>
      </w:pPr>
      <w:r>
        <w:rPr>
          <w:rFonts w:ascii="Bookman Old Style" w:hAnsi="Bookman Old Style"/>
          <w:sz w:val="28"/>
          <w:szCs w:val="28"/>
        </w:rPr>
        <w:lastRenderedPageBreak/>
        <w:t>11</w:t>
      </w:r>
    </w:p>
    <w:p w:rsidR="009661DD" w:rsidRDefault="00B140C4" w:rsidP="00CF4BD7">
      <w:pPr>
        <w:pStyle w:val="NoSpacing"/>
        <w:spacing w:line="480" w:lineRule="auto"/>
        <w:jc w:val="both"/>
        <w:rPr>
          <w:rFonts w:ascii="Bookman Old Style" w:hAnsi="Bookman Old Style"/>
          <w:sz w:val="28"/>
          <w:szCs w:val="28"/>
        </w:rPr>
      </w:pPr>
      <w:r>
        <w:rPr>
          <w:rFonts w:ascii="Bookman Old Style" w:hAnsi="Bookman Old Style"/>
          <w:sz w:val="28"/>
          <w:szCs w:val="28"/>
        </w:rPr>
        <w:t>floating ch</w:t>
      </w:r>
      <w:r w:rsidR="0063261E">
        <w:rPr>
          <w:rFonts w:ascii="Bookman Old Style" w:hAnsi="Bookman Old Style"/>
          <w:sz w:val="28"/>
          <w:szCs w:val="28"/>
        </w:rPr>
        <w:t>arge on all its undertakings,</w:t>
      </w:r>
      <w:r>
        <w:rPr>
          <w:rFonts w:ascii="Bookman Old Style" w:hAnsi="Bookman Old Style"/>
          <w:sz w:val="28"/>
          <w:szCs w:val="28"/>
        </w:rPr>
        <w:t xml:space="preserve"> property asset</w:t>
      </w:r>
      <w:r w:rsidR="0063261E">
        <w:rPr>
          <w:rFonts w:ascii="Bookman Old Style" w:hAnsi="Bookman Old Style"/>
          <w:sz w:val="28"/>
          <w:szCs w:val="28"/>
        </w:rPr>
        <w:t>s and rights as security for a</w:t>
      </w:r>
      <w:r>
        <w:rPr>
          <w:rFonts w:ascii="Bookman Old Style" w:hAnsi="Bookman Old Style"/>
          <w:sz w:val="28"/>
          <w:szCs w:val="28"/>
        </w:rPr>
        <w:t xml:space="preserve"> loan that was adva</w:t>
      </w:r>
      <w:r w:rsidR="0063261E">
        <w:rPr>
          <w:rFonts w:ascii="Bookman Old Style" w:hAnsi="Bookman Old Style"/>
          <w:sz w:val="28"/>
          <w:szCs w:val="28"/>
        </w:rPr>
        <w:t>nced to it</w:t>
      </w:r>
      <w:r>
        <w:rPr>
          <w:rFonts w:ascii="Bookman Old Style" w:hAnsi="Bookman Old Style"/>
          <w:sz w:val="28"/>
          <w:szCs w:val="28"/>
        </w:rPr>
        <w:t>.  The de</w:t>
      </w:r>
      <w:r w:rsidR="009B77E7">
        <w:rPr>
          <w:rFonts w:ascii="Bookman Old Style" w:hAnsi="Bookman Old Style"/>
          <w:sz w:val="28"/>
          <w:szCs w:val="28"/>
        </w:rPr>
        <w:t>benture specified that the happe</w:t>
      </w:r>
      <w:r>
        <w:rPr>
          <w:rFonts w:ascii="Bookman Old Style" w:hAnsi="Bookman Old Style"/>
          <w:sz w:val="28"/>
          <w:szCs w:val="28"/>
        </w:rPr>
        <w:t>ning</w:t>
      </w:r>
      <w:r w:rsidR="0006138C">
        <w:rPr>
          <w:rFonts w:ascii="Bookman Old Style" w:hAnsi="Bookman Old Style"/>
          <w:sz w:val="28"/>
          <w:szCs w:val="28"/>
        </w:rPr>
        <w:t xml:space="preserve"> of certain events would entit</w:t>
      </w:r>
      <w:r w:rsidR="009B77E7">
        <w:rPr>
          <w:rFonts w:ascii="Bookman Old Style" w:hAnsi="Bookman Old Style"/>
          <w:sz w:val="28"/>
          <w:szCs w:val="28"/>
        </w:rPr>
        <w:t>l</w:t>
      </w:r>
      <w:r w:rsidR="0006138C">
        <w:rPr>
          <w:rFonts w:ascii="Bookman Old Style" w:hAnsi="Bookman Old Style"/>
          <w:sz w:val="28"/>
          <w:szCs w:val="28"/>
        </w:rPr>
        <w:t>e</w:t>
      </w:r>
      <w:r>
        <w:rPr>
          <w:rFonts w:ascii="Bookman Old Style" w:hAnsi="Bookman Old Style"/>
          <w:sz w:val="28"/>
          <w:szCs w:val="28"/>
        </w:rPr>
        <w:t xml:space="preserve"> the debenture holder to appoint a receiver/manager.  The receiver to be so appointed was clothed with powers that were stipulated in the debenture </w:t>
      </w:r>
      <w:r w:rsidR="004753A3">
        <w:rPr>
          <w:rFonts w:ascii="Bookman Old Style" w:hAnsi="Bookman Old Style"/>
          <w:sz w:val="28"/>
          <w:szCs w:val="28"/>
        </w:rPr>
        <w:t>and these included the taking of</w:t>
      </w:r>
      <w:r>
        <w:rPr>
          <w:rFonts w:ascii="Bookman Old Style" w:hAnsi="Bookman Old Style"/>
          <w:sz w:val="28"/>
          <w:szCs w:val="28"/>
        </w:rPr>
        <w:t xml:space="preserve"> possession or collecting any property comprised in the security.  The powers also include</w:t>
      </w:r>
      <w:r w:rsidR="00946DE5">
        <w:rPr>
          <w:rFonts w:ascii="Bookman Old Style" w:hAnsi="Bookman Old Style"/>
          <w:sz w:val="28"/>
          <w:szCs w:val="28"/>
        </w:rPr>
        <w:t>d the carrying on or managing</w:t>
      </w:r>
      <w:r>
        <w:rPr>
          <w:rFonts w:ascii="Bookman Old Style" w:hAnsi="Bookman Old Style"/>
          <w:sz w:val="28"/>
          <w:szCs w:val="28"/>
        </w:rPr>
        <w:t xml:space="preserve"> the business of the company.</w:t>
      </w:r>
      <w:r w:rsidR="004D549F" w:rsidRPr="008D22A7">
        <w:rPr>
          <w:rFonts w:ascii="Bookman Old Style" w:hAnsi="Bookman Old Style"/>
          <w:b/>
          <w:i/>
        </w:rPr>
        <w:t xml:space="preserve"> </w:t>
      </w:r>
      <w:r>
        <w:rPr>
          <w:rFonts w:ascii="Bookman Old Style" w:hAnsi="Bookman Old Style"/>
        </w:rPr>
        <w:t xml:space="preserve"> </w:t>
      </w:r>
      <w:r w:rsidRPr="00EA21F6">
        <w:rPr>
          <w:rFonts w:ascii="Bookman Old Style" w:hAnsi="Bookman Old Style"/>
          <w:sz w:val="28"/>
          <w:szCs w:val="28"/>
        </w:rPr>
        <w:t>Counsel contended that in the</w:t>
      </w:r>
      <w:r w:rsidR="00BD4AB6">
        <w:rPr>
          <w:rFonts w:ascii="Bookman Old Style" w:hAnsi="Bookman Old Style"/>
          <w:sz w:val="28"/>
          <w:szCs w:val="28"/>
        </w:rPr>
        <w:t>se</w:t>
      </w:r>
      <w:r w:rsidRPr="00EA21F6">
        <w:rPr>
          <w:rFonts w:ascii="Bookman Old Style" w:hAnsi="Bookman Old Style"/>
          <w:sz w:val="28"/>
          <w:szCs w:val="28"/>
        </w:rPr>
        <w:t xml:space="preserve"> circumstances, the role of the receiver/manager co</w:t>
      </w:r>
      <w:r w:rsidR="00946DE5">
        <w:rPr>
          <w:rFonts w:ascii="Bookman Old Style" w:hAnsi="Bookman Old Style"/>
          <w:sz w:val="28"/>
          <w:szCs w:val="28"/>
        </w:rPr>
        <w:t>uld not be secondary to that</w:t>
      </w:r>
      <w:r w:rsidRPr="00EA21F6">
        <w:rPr>
          <w:rFonts w:ascii="Bookman Old Style" w:hAnsi="Bookman Old Style"/>
          <w:sz w:val="28"/>
          <w:szCs w:val="28"/>
        </w:rPr>
        <w:t xml:space="preserve"> of the liquidator as was held by the learned Judge in the Court </w:t>
      </w:r>
      <w:r w:rsidR="00975052">
        <w:rPr>
          <w:rFonts w:ascii="Bookman Old Style" w:hAnsi="Bookman Old Style"/>
          <w:sz w:val="28"/>
          <w:szCs w:val="28"/>
        </w:rPr>
        <w:t>b</w:t>
      </w:r>
      <w:r w:rsidRPr="00EA21F6">
        <w:rPr>
          <w:rFonts w:ascii="Bookman Old Style" w:hAnsi="Bookman Old Style"/>
          <w:sz w:val="28"/>
          <w:szCs w:val="28"/>
        </w:rPr>
        <w:t>elow.  It was his view that the receiver/</w:t>
      </w:r>
      <w:r w:rsidR="00975052" w:rsidRPr="00EA21F6">
        <w:rPr>
          <w:rFonts w:ascii="Bookman Old Style" w:hAnsi="Bookman Old Style"/>
          <w:sz w:val="28"/>
          <w:szCs w:val="28"/>
        </w:rPr>
        <w:t>manager</w:t>
      </w:r>
      <w:r w:rsidRPr="00EA21F6">
        <w:rPr>
          <w:rFonts w:ascii="Bookman Old Style" w:hAnsi="Bookman Old Style"/>
          <w:sz w:val="28"/>
          <w:szCs w:val="28"/>
        </w:rPr>
        <w:t xml:space="preserve"> was supposed to play the primary role and</w:t>
      </w:r>
      <w:r w:rsidR="00596E71">
        <w:rPr>
          <w:rFonts w:ascii="Bookman Old Style" w:hAnsi="Bookman Old Style"/>
          <w:sz w:val="28"/>
          <w:szCs w:val="28"/>
        </w:rPr>
        <w:t xml:space="preserve"> take precedence over the liquidator in</w:t>
      </w:r>
      <w:r w:rsidR="00946DE5">
        <w:rPr>
          <w:rFonts w:ascii="Bookman Old Style" w:hAnsi="Bookman Old Style"/>
          <w:sz w:val="28"/>
          <w:szCs w:val="28"/>
        </w:rPr>
        <w:t xml:space="preserve"> terms of the administration of</w:t>
      </w:r>
      <w:r w:rsidR="00596E71">
        <w:rPr>
          <w:rFonts w:ascii="Bookman Old Style" w:hAnsi="Bookman Old Style"/>
          <w:sz w:val="28"/>
          <w:szCs w:val="28"/>
        </w:rPr>
        <w:t xml:space="preserve"> the assets of </w:t>
      </w:r>
      <w:r w:rsidR="00BD4AB6">
        <w:rPr>
          <w:rFonts w:ascii="Bookman Old Style" w:hAnsi="Bookman Old Style"/>
          <w:sz w:val="28"/>
          <w:szCs w:val="28"/>
        </w:rPr>
        <w:t>the Appellant Company.  In support of his submission, Counsel referred us to</w:t>
      </w:r>
      <w:r w:rsidR="00596E71">
        <w:rPr>
          <w:rFonts w:ascii="Bookman Old Style" w:hAnsi="Bookman Old Style"/>
          <w:sz w:val="28"/>
          <w:szCs w:val="28"/>
        </w:rPr>
        <w:t xml:space="preserve"> a number of </w:t>
      </w:r>
      <w:r w:rsidR="00BD4AB6">
        <w:rPr>
          <w:rFonts w:ascii="Bookman Old Style" w:hAnsi="Bookman Old Style"/>
          <w:sz w:val="28"/>
          <w:szCs w:val="28"/>
        </w:rPr>
        <w:t xml:space="preserve">cases, one of which is that </w:t>
      </w:r>
      <w:r w:rsidR="00596E71">
        <w:rPr>
          <w:rFonts w:ascii="Bookman Old Style" w:hAnsi="Bookman Old Style"/>
          <w:sz w:val="28"/>
          <w:szCs w:val="28"/>
        </w:rPr>
        <w:t xml:space="preserve">of </w:t>
      </w:r>
      <w:r w:rsidR="00596E71" w:rsidRPr="00596E71">
        <w:rPr>
          <w:rFonts w:ascii="Bookman Old Style" w:hAnsi="Bookman Old Style"/>
          <w:b/>
          <w:sz w:val="28"/>
          <w:szCs w:val="28"/>
        </w:rPr>
        <w:t>GOSLING VS GASKELL AND GROCOTT</w:t>
      </w:r>
      <w:r w:rsidR="00BD4AB6">
        <w:rPr>
          <w:rFonts w:ascii="Bookman Old Style" w:hAnsi="Bookman Old Style"/>
          <w:b/>
          <w:sz w:val="28"/>
          <w:szCs w:val="28"/>
        </w:rPr>
        <w:t>²</w:t>
      </w:r>
      <w:r w:rsidR="00596E71">
        <w:rPr>
          <w:rFonts w:ascii="Bookman Old Style" w:hAnsi="Bookman Old Style"/>
          <w:sz w:val="28"/>
          <w:szCs w:val="28"/>
        </w:rPr>
        <w:t xml:space="preserve"> in which it was stated that the</w:t>
      </w:r>
      <w:r w:rsidR="00A50F15">
        <w:rPr>
          <w:rFonts w:ascii="Bookman Old Style" w:hAnsi="Bookman Old Style"/>
          <w:sz w:val="28"/>
          <w:szCs w:val="28"/>
        </w:rPr>
        <w:t xml:space="preserve"> position of a receiver was not </w:t>
      </w:r>
      <w:r w:rsidR="00596E71">
        <w:rPr>
          <w:rFonts w:ascii="Bookman Old Style" w:hAnsi="Bookman Old Style"/>
          <w:sz w:val="28"/>
          <w:szCs w:val="28"/>
        </w:rPr>
        <w:t xml:space="preserve">altered by the Order for winding up of the </w:t>
      </w:r>
      <w:r w:rsidR="009661DD">
        <w:rPr>
          <w:rFonts w:ascii="Bookman Old Style" w:hAnsi="Bookman Old Style"/>
          <w:sz w:val="28"/>
          <w:szCs w:val="28"/>
        </w:rPr>
        <w:t>company.</w:t>
      </w:r>
    </w:p>
    <w:p w:rsidR="00CF4BD7" w:rsidRDefault="00CF4BD7" w:rsidP="009661DD">
      <w:pPr>
        <w:pStyle w:val="NoSpacing"/>
        <w:spacing w:line="480" w:lineRule="auto"/>
        <w:ind w:firstLine="720"/>
        <w:jc w:val="both"/>
        <w:rPr>
          <w:rFonts w:ascii="Bookman Old Style" w:hAnsi="Bookman Old Style"/>
          <w:sz w:val="28"/>
          <w:szCs w:val="28"/>
        </w:rPr>
      </w:pPr>
    </w:p>
    <w:p w:rsidR="00CF4BD7" w:rsidRDefault="00CF4BD7" w:rsidP="00CF4BD7">
      <w:pPr>
        <w:pStyle w:val="NoSpacing"/>
        <w:spacing w:line="480" w:lineRule="auto"/>
        <w:ind w:firstLine="720"/>
        <w:jc w:val="right"/>
        <w:rPr>
          <w:rFonts w:ascii="Bookman Old Style" w:hAnsi="Bookman Old Style"/>
          <w:sz w:val="28"/>
          <w:szCs w:val="28"/>
        </w:rPr>
      </w:pPr>
      <w:r>
        <w:rPr>
          <w:rFonts w:ascii="Bookman Old Style" w:hAnsi="Bookman Old Style"/>
          <w:sz w:val="28"/>
          <w:szCs w:val="28"/>
        </w:rPr>
        <w:lastRenderedPageBreak/>
        <w:t>12</w:t>
      </w:r>
    </w:p>
    <w:p w:rsidR="00E95312" w:rsidRDefault="009661DD" w:rsidP="009661DD">
      <w:pPr>
        <w:pStyle w:val="NoSpacing"/>
        <w:spacing w:line="480" w:lineRule="auto"/>
        <w:ind w:firstLine="720"/>
        <w:jc w:val="both"/>
        <w:rPr>
          <w:rFonts w:ascii="Bookman Old Style" w:hAnsi="Bookman Old Style"/>
          <w:sz w:val="28"/>
          <w:szCs w:val="28"/>
        </w:rPr>
      </w:pPr>
      <w:r>
        <w:rPr>
          <w:rFonts w:ascii="Bookman Old Style" w:hAnsi="Bookman Old Style"/>
          <w:sz w:val="28"/>
          <w:szCs w:val="28"/>
        </w:rPr>
        <w:t>Counsel</w:t>
      </w:r>
      <w:r w:rsidR="00BD4AB6">
        <w:rPr>
          <w:rFonts w:ascii="Bookman Old Style" w:hAnsi="Bookman Old Style"/>
          <w:sz w:val="28"/>
          <w:szCs w:val="28"/>
        </w:rPr>
        <w:t xml:space="preserve"> further submitted that</w:t>
      </w:r>
      <w:r>
        <w:rPr>
          <w:rFonts w:ascii="Bookman Old Style" w:hAnsi="Bookman Old Style"/>
          <w:sz w:val="28"/>
          <w:szCs w:val="28"/>
        </w:rPr>
        <w:t xml:space="preserve"> under the debenture, the entire undertaking of the Appellant and all it</w:t>
      </w:r>
      <w:r w:rsidR="00BD4AB6">
        <w:rPr>
          <w:rFonts w:ascii="Bookman Old Style" w:hAnsi="Bookman Old Style"/>
          <w:sz w:val="28"/>
          <w:szCs w:val="28"/>
        </w:rPr>
        <w:t>s property assets and rights were</w:t>
      </w:r>
      <w:r>
        <w:rPr>
          <w:rFonts w:ascii="Bookman Old Style" w:hAnsi="Bookman Old Style"/>
          <w:sz w:val="28"/>
          <w:szCs w:val="28"/>
        </w:rPr>
        <w:t xml:space="preserve"> charged as security to Zambia National Commercial Bank for a loan th</w:t>
      </w:r>
      <w:r w:rsidR="00BD4AB6">
        <w:rPr>
          <w:rFonts w:ascii="Bookman Old Style" w:hAnsi="Bookman Old Style"/>
          <w:sz w:val="28"/>
          <w:szCs w:val="28"/>
        </w:rPr>
        <w:t>at was advanced to it</w:t>
      </w:r>
      <w:r>
        <w:rPr>
          <w:rFonts w:ascii="Bookman Old Style" w:hAnsi="Bookman Old Style"/>
          <w:sz w:val="28"/>
          <w:szCs w:val="28"/>
        </w:rPr>
        <w:t xml:space="preserve">.  The appointment of the </w:t>
      </w:r>
      <w:r w:rsidR="000B1F24">
        <w:rPr>
          <w:rFonts w:ascii="Bookman Old Style" w:hAnsi="Bookman Old Style"/>
          <w:sz w:val="28"/>
          <w:szCs w:val="28"/>
        </w:rPr>
        <w:t>receiver/manager was to</w:t>
      </w:r>
      <w:r>
        <w:rPr>
          <w:rFonts w:ascii="Bookman Old Style" w:hAnsi="Bookman Old Style"/>
          <w:sz w:val="28"/>
          <w:szCs w:val="28"/>
        </w:rPr>
        <w:t xml:space="preserve"> take possession and collect all the property that was comprised in the security and realize it.</w:t>
      </w:r>
      <w:r w:rsidR="00AC180E">
        <w:rPr>
          <w:rFonts w:ascii="Bookman Old Style" w:hAnsi="Bookman Old Style"/>
          <w:sz w:val="28"/>
          <w:szCs w:val="28"/>
        </w:rPr>
        <w:t xml:space="preserve">  To buttress his argumen</w:t>
      </w:r>
      <w:r w:rsidR="00946DE5">
        <w:rPr>
          <w:rFonts w:ascii="Bookman Old Style" w:hAnsi="Bookman Old Style"/>
          <w:sz w:val="28"/>
          <w:szCs w:val="28"/>
        </w:rPr>
        <w:t>t, Counsel</w:t>
      </w:r>
      <w:r w:rsidR="000B1F24">
        <w:rPr>
          <w:rFonts w:ascii="Bookman Old Style" w:hAnsi="Bookman Old Style"/>
          <w:sz w:val="28"/>
          <w:szCs w:val="28"/>
        </w:rPr>
        <w:t xml:space="preserve"> referred us to the book by Robert R. PENNINGTON entitled </w:t>
      </w:r>
      <w:r w:rsidR="000B1F24" w:rsidRPr="000B1F24">
        <w:rPr>
          <w:rFonts w:ascii="Bookman Old Style" w:hAnsi="Bookman Old Style"/>
          <w:b/>
          <w:sz w:val="28"/>
          <w:szCs w:val="28"/>
        </w:rPr>
        <w:t>PENNINGTON’S COMPANY LAW</w:t>
      </w:r>
      <w:r w:rsidR="00AC180E">
        <w:rPr>
          <w:rFonts w:ascii="Bookman Old Style" w:hAnsi="Bookman Old Style"/>
          <w:b/>
          <w:sz w:val="28"/>
          <w:szCs w:val="28"/>
        </w:rPr>
        <w:t></w:t>
      </w:r>
      <w:r w:rsidR="000B1F24" w:rsidRPr="000B1F24">
        <w:rPr>
          <w:rFonts w:ascii="Bookman Old Style" w:hAnsi="Bookman Old Style"/>
          <w:b/>
          <w:sz w:val="28"/>
          <w:szCs w:val="28"/>
        </w:rPr>
        <w:t xml:space="preserve">, </w:t>
      </w:r>
      <w:r w:rsidR="00AC180E">
        <w:rPr>
          <w:rFonts w:ascii="Bookman Old Style" w:hAnsi="Bookman Old Style"/>
          <w:sz w:val="28"/>
          <w:szCs w:val="28"/>
        </w:rPr>
        <w:t>wherein it is stated that</w:t>
      </w:r>
      <w:r w:rsidR="000B1F24">
        <w:rPr>
          <w:rFonts w:ascii="Bookman Old Style" w:hAnsi="Bookman Old Style"/>
          <w:sz w:val="28"/>
          <w:szCs w:val="28"/>
        </w:rPr>
        <w:t xml:space="preserve"> receivers were pri</w:t>
      </w:r>
      <w:r w:rsidR="00AC180E">
        <w:rPr>
          <w:rFonts w:ascii="Bookman Old Style" w:hAnsi="Bookman Old Style"/>
          <w:sz w:val="28"/>
          <w:szCs w:val="28"/>
        </w:rPr>
        <w:t>marily appointed to realize Company</w:t>
      </w:r>
      <w:r w:rsidR="000B1F24">
        <w:rPr>
          <w:rFonts w:ascii="Bookman Old Style" w:hAnsi="Bookman Old Style"/>
          <w:sz w:val="28"/>
          <w:szCs w:val="28"/>
        </w:rPr>
        <w:t xml:space="preserve"> assets comprised in the debenture holder’s security </w:t>
      </w:r>
      <w:r w:rsidR="00AC180E">
        <w:rPr>
          <w:rFonts w:ascii="Bookman Old Style" w:hAnsi="Bookman Old Style"/>
          <w:sz w:val="28"/>
          <w:szCs w:val="28"/>
        </w:rPr>
        <w:t xml:space="preserve">and </w:t>
      </w:r>
      <w:r w:rsidR="000B1F24">
        <w:rPr>
          <w:rFonts w:ascii="Bookman Old Style" w:hAnsi="Bookman Old Style"/>
          <w:sz w:val="28"/>
          <w:szCs w:val="28"/>
        </w:rPr>
        <w:t>to distribute the proceeds to the debenture holders in satisfacti</w:t>
      </w:r>
      <w:r w:rsidR="00AC180E">
        <w:rPr>
          <w:rFonts w:ascii="Bookman Old Style" w:hAnsi="Bookman Old Style"/>
          <w:sz w:val="28"/>
          <w:szCs w:val="28"/>
        </w:rPr>
        <w:t>on of their claims and to return any surplus proceed</w:t>
      </w:r>
      <w:r w:rsidR="000B1F24">
        <w:rPr>
          <w:rFonts w:ascii="Bookman Old Style" w:hAnsi="Bookman Old Style"/>
          <w:sz w:val="28"/>
          <w:szCs w:val="28"/>
        </w:rPr>
        <w:t>s or unrealized assets to the company which  may then continue to carry on its undertak</w:t>
      </w:r>
      <w:r w:rsidR="003E54A6">
        <w:rPr>
          <w:rFonts w:ascii="Bookman Old Style" w:hAnsi="Bookman Old Style"/>
          <w:sz w:val="28"/>
          <w:szCs w:val="28"/>
        </w:rPr>
        <w:t>ing or go into liquidation if</w:t>
      </w:r>
      <w:r w:rsidR="000B1F24">
        <w:rPr>
          <w:rFonts w:ascii="Bookman Old Style" w:hAnsi="Bookman Old Style"/>
          <w:sz w:val="28"/>
          <w:szCs w:val="28"/>
        </w:rPr>
        <w:t xml:space="preserve"> it is insolvent or has insufficient assets left to continue.  It is the argument of the Appellant that the liquidator will only be </w:t>
      </w:r>
      <w:r w:rsidR="00E95312">
        <w:rPr>
          <w:rFonts w:ascii="Bookman Old Style" w:hAnsi="Bookman Old Style"/>
          <w:sz w:val="28"/>
          <w:szCs w:val="28"/>
        </w:rPr>
        <w:t>entitled to the surplus</w:t>
      </w:r>
      <w:r w:rsidR="00BF3110">
        <w:rPr>
          <w:rFonts w:ascii="Bookman Old Style" w:hAnsi="Bookman Old Style"/>
          <w:sz w:val="28"/>
          <w:szCs w:val="28"/>
        </w:rPr>
        <w:t>,</w:t>
      </w:r>
      <w:r w:rsidR="00E95312">
        <w:rPr>
          <w:rFonts w:ascii="Bookman Old Style" w:hAnsi="Bookman Old Style"/>
          <w:sz w:val="28"/>
          <w:szCs w:val="28"/>
        </w:rPr>
        <w:t xml:space="preserve"> if any</w:t>
      </w:r>
      <w:r w:rsidR="00227BEB">
        <w:rPr>
          <w:rFonts w:ascii="Bookman Old Style" w:hAnsi="Bookman Old Style"/>
          <w:sz w:val="28"/>
          <w:szCs w:val="28"/>
        </w:rPr>
        <w:t>,</w:t>
      </w:r>
      <w:r w:rsidR="00E95312">
        <w:rPr>
          <w:rFonts w:ascii="Bookman Old Style" w:hAnsi="Bookman Old Style"/>
          <w:sz w:val="28"/>
          <w:szCs w:val="28"/>
        </w:rPr>
        <w:t xml:space="preserve"> o</w:t>
      </w:r>
      <w:r w:rsidR="000B1F24">
        <w:rPr>
          <w:rFonts w:ascii="Bookman Old Style" w:hAnsi="Bookman Old Style"/>
          <w:sz w:val="28"/>
          <w:szCs w:val="28"/>
        </w:rPr>
        <w:t>r unrealized assets</w:t>
      </w:r>
      <w:r w:rsidR="00BF3110">
        <w:rPr>
          <w:rFonts w:ascii="Bookman Old Style" w:hAnsi="Bookman Old Style"/>
          <w:sz w:val="28"/>
          <w:szCs w:val="28"/>
        </w:rPr>
        <w:t>,</w:t>
      </w:r>
      <w:r w:rsidR="00E95312">
        <w:rPr>
          <w:rFonts w:ascii="Bookman Old Style" w:hAnsi="Bookman Old Style"/>
          <w:sz w:val="28"/>
          <w:szCs w:val="28"/>
        </w:rPr>
        <w:t xml:space="preserve"> after satisfaction of </w:t>
      </w:r>
      <w:r w:rsidR="003E54A6">
        <w:rPr>
          <w:rFonts w:ascii="Bookman Old Style" w:hAnsi="Bookman Old Style"/>
          <w:sz w:val="28"/>
          <w:szCs w:val="28"/>
        </w:rPr>
        <w:t xml:space="preserve">the </w:t>
      </w:r>
      <w:r w:rsidR="00E95312">
        <w:rPr>
          <w:rFonts w:ascii="Bookman Old Style" w:hAnsi="Bookman Old Style"/>
          <w:sz w:val="28"/>
          <w:szCs w:val="28"/>
        </w:rPr>
        <w:t>debenture holder’s claims.</w:t>
      </w:r>
    </w:p>
    <w:p w:rsidR="00CF4BD7" w:rsidRDefault="00CF4BD7" w:rsidP="009661DD">
      <w:pPr>
        <w:pStyle w:val="NoSpacing"/>
        <w:spacing w:line="480" w:lineRule="auto"/>
        <w:ind w:firstLine="720"/>
        <w:jc w:val="both"/>
        <w:rPr>
          <w:rFonts w:ascii="Bookman Old Style" w:hAnsi="Bookman Old Style"/>
          <w:sz w:val="28"/>
          <w:szCs w:val="28"/>
        </w:rPr>
      </w:pPr>
    </w:p>
    <w:p w:rsidR="00CF4BD7" w:rsidRDefault="00CF4BD7" w:rsidP="00CF4BD7">
      <w:pPr>
        <w:pStyle w:val="NoSpacing"/>
        <w:spacing w:line="480" w:lineRule="auto"/>
        <w:ind w:firstLine="720"/>
        <w:jc w:val="right"/>
        <w:rPr>
          <w:rFonts w:ascii="Bookman Old Style" w:hAnsi="Bookman Old Style"/>
          <w:sz w:val="28"/>
          <w:szCs w:val="28"/>
        </w:rPr>
      </w:pPr>
      <w:r>
        <w:rPr>
          <w:rFonts w:ascii="Bookman Old Style" w:hAnsi="Bookman Old Style"/>
          <w:sz w:val="28"/>
          <w:szCs w:val="28"/>
        </w:rPr>
        <w:lastRenderedPageBreak/>
        <w:t>13</w:t>
      </w:r>
    </w:p>
    <w:p w:rsidR="00973454" w:rsidRDefault="000151DC" w:rsidP="009661DD">
      <w:pPr>
        <w:pStyle w:val="NoSpacing"/>
        <w:spacing w:line="480" w:lineRule="auto"/>
        <w:ind w:firstLine="720"/>
        <w:jc w:val="both"/>
        <w:rPr>
          <w:rFonts w:ascii="Bookman Old Style" w:hAnsi="Bookman Old Style"/>
          <w:sz w:val="28"/>
          <w:szCs w:val="28"/>
        </w:rPr>
      </w:pPr>
      <w:r>
        <w:rPr>
          <w:rFonts w:ascii="Bookman Old Style" w:hAnsi="Bookman Old Style"/>
          <w:sz w:val="28"/>
          <w:szCs w:val="28"/>
        </w:rPr>
        <w:t>It</w:t>
      </w:r>
      <w:r w:rsidR="00D12E27">
        <w:rPr>
          <w:rFonts w:ascii="Bookman Old Style" w:hAnsi="Bookman Old Style"/>
          <w:sz w:val="28"/>
          <w:szCs w:val="28"/>
        </w:rPr>
        <w:t xml:space="preserve"> is</w:t>
      </w:r>
      <w:r>
        <w:rPr>
          <w:rFonts w:ascii="Bookman Old Style" w:hAnsi="Bookman Old Style"/>
          <w:sz w:val="28"/>
          <w:szCs w:val="28"/>
        </w:rPr>
        <w:t xml:space="preserve"> the contention of Counsel</w:t>
      </w:r>
      <w:r w:rsidR="00D12E27">
        <w:rPr>
          <w:rFonts w:ascii="Bookman Old Style" w:hAnsi="Bookman Old Style"/>
          <w:sz w:val="28"/>
          <w:szCs w:val="28"/>
        </w:rPr>
        <w:t xml:space="preserve"> </w:t>
      </w:r>
      <w:r w:rsidR="00BF3110">
        <w:rPr>
          <w:rFonts w:ascii="Bookman Old Style" w:hAnsi="Bookman Old Style"/>
          <w:sz w:val="28"/>
          <w:szCs w:val="28"/>
        </w:rPr>
        <w:t xml:space="preserve">for the Appellant </w:t>
      </w:r>
      <w:r w:rsidR="00D12E27">
        <w:rPr>
          <w:rFonts w:ascii="Bookman Old Style" w:hAnsi="Bookman Old Style"/>
          <w:sz w:val="28"/>
          <w:szCs w:val="28"/>
        </w:rPr>
        <w:t>that the Court below</w:t>
      </w:r>
      <w:r>
        <w:rPr>
          <w:rFonts w:ascii="Bookman Old Style" w:hAnsi="Bookman Old Style"/>
          <w:sz w:val="28"/>
          <w:szCs w:val="28"/>
        </w:rPr>
        <w:t xml:space="preserve"> further</w:t>
      </w:r>
      <w:r w:rsidR="00D12E27">
        <w:rPr>
          <w:rFonts w:ascii="Bookman Old Style" w:hAnsi="Bookman Old Style"/>
          <w:sz w:val="28"/>
          <w:szCs w:val="28"/>
        </w:rPr>
        <w:t xml:space="preserve"> misdirected itself in law when it held that the role of a receiver/manager was to manage the affairs of an ongoing business concern in order to protect the interest of his principals.  According to Counsel, </w:t>
      </w:r>
      <w:r w:rsidR="00973454">
        <w:rPr>
          <w:rFonts w:ascii="Bookman Old Style" w:hAnsi="Bookman Old Style"/>
          <w:sz w:val="28"/>
          <w:szCs w:val="28"/>
        </w:rPr>
        <w:t>the net effective of this holding by the Court is that the role of receiver/manager of a company shall terminate once a company ceases to be a going concern.  He argued that this is a misdirection because clearly</w:t>
      </w:r>
      <w:r w:rsidR="00BF3110">
        <w:rPr>
          <w:rFonts w:ascii="Bookman Old Style" w:hAnsi="Bookman Old Style"/>
          <w:sz w:val="28"/>
          <w:szCs w:val="28"/>
        </w:rPr>
        <w:t>,</w:t>
      </w:r>
      <w:r w:rsidR="00973454">
        <w:rPr>
          <w:rFonts w:ascii="Bookman Old Style" w:hAnsi="Bookman Old Style"/>
          <w:sz w:val="28"/>
          <w:szCs w:val="28"/>
        </w:rPr>
        <w:t xml:space="preserve"> the role of receiver/manager survives the winding up order.  </w:t>
      </w:r>
      <w:r w:rsidR="003E1D03">
        <w:rPr>
          <w:rFonts w:ascii="Bookman Old Style" w:hAnsi="Bookman Old Style"/>
          <w:sz w:val="28"/>
          <w:szCs w:val="28"/>
        </w:rPr>
        <w:t xml:space="preserve">To buttress his argument, </w:t>
      </w:r>
      <w:r w:rsidR="00973454">
        <w:rPr>
          <w:rFonts w:ascii="Bookman Old Style" w:hAnsi="Bookman Old Style"/>
          <w:sz w:val="28"/>
          <w:szCs w:val="28"/>
        </w:rPr>
        <w:t xml:space="preserve">Counsel again referred us to </w:t>
      </w:r>
      <w:r w:rsidR="003E1D03">
        <w:rPr>
          <w:rFonts w:ascii="Bookman Old Style" w:hAnsi="Bookman Old Style"/>
          <w:b/>
          <w:sz w:val="28"/>
          <w:szCs w:val="28"/>
        </w:rPr>
        <w:t>LIGHTMAN +</w:t>
      </w:r>
      <w:r w:rsidR="00973454" w:rsidRPr="00D353F5">
        <w:rPr>
          <w:rFonts w:ascii="Bookman Old Style" w:hAnsi="Bookman Old Style"/>
          <w:b/>
          <w:sz w:val="28"/>
          <w:szCs w:val="28"/>
        </w:rPr>
        <w:t xml:space="preserve"> MOSS</w:t>
      </w:r>
      <w:r w:rsidR="00973454">
        <w:rPr>
          <w:rFonts w:ascii="Bookman Old Style" w:hAnsi="Bookman Old Style"/>
          <w:sz w:val="28"/>
          <w:szCs w:val="28"/>
        </w:rPr>
        <w:t xml:space="preserve"> in their book, </w:t>
      </w:r>
      <w:r w:rsidR="00973454" w:rsidRPr="00973454">
        <w:rPr>
          <w:rFonts w:ascii="Bookman Old Style" w:hAnsi="Bookman Old Style"/>
          <w:b/>
          <w:sz w:val="28"/>
          <w:szCs w:val="28"/>
        </w:rPr>
        <w:t>THE LAW OF RECEIVERS AND COMPANIES</w:t>
      </w:r>
      <w:r w:rsidR="003E1D03">
        <w:rPr>
          <w:rFonts w:ascii="Bookman Old Style" w:hAnsi="Bookman Old Style"/>
          <w:b/>
          <w:sz w:val="28"/>
          <w:szCs w:val="28"/>
        </w:rPr>
        <w:t>²</w:t>
      </w:r>
      <w:r w:rsidR="00973454">
        <w:rPr>
          <w:rFonts w:ascii="Bookman Old Style" w:hAnsi="Bookman Old Style"/>
          <w:sz w:val="28"/>
          <w:szCs w:val="28"/>
        </w:rPr>
        <w:t xml:space="preserve"> o</w:t>
      </w:r>
      <w:r w:rsidR="003E1D03">
        <w:rPr>
          <w:rFonts w:ascii="Bookman Old Style" w:hAnsi="Bookman Old Style"/>
          <w:sz w:val="28"/>
          <w:szCs w:val="28"/>
        </w:rPr>
        <w:t>n the position that obtains after the</w:t>
      </w:r>
      <w:r w:rsidR="00973454">
        <w:rPr>
          <w:rFonts w:ascii="Bookman Old Style" w:hAnsi="Bookman Old Style"/>
          <w:sz w:val="28"/>
          <w:szCs w:val="28"/>
        </w:rPr>
        <w:t xml:space="preserve"> winding up</w:t>
      </w:r>
      <w:r w:rsidR="003E1D03">
        <w:rPr>
          <w:rFonts w:ascii="Bookman Old Style" w:hAnsi="Bookman Old Style"/>
          <w:sz w:val="28"/>
          <w:szCs w:val="28"/>
        </w:rPr>
        <w:t xml:space="preserve"> of a company i</w:t>
      </w:r>
      <w:r w:rsidR="00973454">
        <w:rPr>
          <w:rFonts w:ascii="Bookman Old Style" w:hAnsi="Bookman Old Style"/>
          <w:sz w:val="28"/>
          <w:szCs w:val="28"/>
        </w:rPr>
        <w:t>n rece</w:t>
      </w:r>
      <w:r w:rsidR="003E1D03">
        <w:rPr>
          <w:rFonts w:ascii="Bookman Old Style" w:hAnsi="Bookman Old Style"/>
          <w:sz w:val="28"/>
          <w:szCs w:val="28"/>
        </w:rPr>
        <w:t xml:space="preserve">ivership.  </w:t>
      </w:r>
      <w:r w:rsidR="00973454">
        <w:rPr>
          <w:rFonts w:ascii="Bookman Old Style" w:hAnsi="Bookman Old Style"/>
          <w:sz w:val="28"/>
          <w:szCs w:val="28"/>
        </w:rPr>
        <w:t xml:space="preserve"> These learned authors state: </w:t>
      </w:r>
    </w:p>
    <w:p w:rsidR="004D549F" w:rsidRDefault="00973454" w:rsidP="00973454">
      <w:pPr>
        <w:pStyle w:val="NoSpacing"/>
        <w:ind w:left="720" w:firstLine="75"/>
        <w:jc w:val="both"/>
        <w:rPr>
          <w:rFonts w:ascii="Bookman Old Style" w:hAnsi="Bookman Old Style"/>
          <w:b/>
          <w:i/>
        </w:rPr>
      </w:pPr>
      <w:r>
        <w:rPr>
          <w:rFonts w:ascii="Bookman Old Style" w:hAnsi="Bookman Old Style"/>
          <w:sz w:val="28"/>
          <w:szCs w:val="28"/>
        </w:rPr>
        <w:t>“</w:t>
      </w:r>
      <w:r w:rsidRPr="00973454">
        <w:rPr>
          <w:rFonts w:ascii="Bookman Old Style" w:hAnsi="Bookman Old Style"/>
          <w:b/>
        </w:rPr>
        <w:t>The winding up order or resolution for winding up terminates the receivers’ agency for the company.  The powers given by the debenture to exploit the company’s undertaking and assets, however, continue unaffected, save only that they cannot be exercised so as to create any new debt or fresh liability.  The receiver can, therefore, carry on the business of the company, get in and realize the company’s assets and take proceedings in the name of the company to recover assets</w:t>
      </w:r>
      <w:r>
        <w:rPr>
          <w:rFonts w:ascii="Bookman Old Style" w:hAnsi="Bookman Old Style"/>
          <w:sz w:val="28"/>
          <w:szCs w:val="28"/>
        </w:rPr>
        <w:t xml:space="preserve">.  </w:t>
      </w:r>
      <w:r w:rsidRPr="00973454">
        <w:rPr>
          <w:rFonts w:ascii="Bookman Old Style" w:hAnsi="Bookman Old Style"/>
          <w:b/>
        </w:rPr>
        <w:t>He may do so either as agent for the debenture holder or as principal.”</w:t>
      </w:r>
      <w:r w:rsidR="00596E71">
        <w:rPr>
          <w:rFonts w:ascii="Bookman Old Style" w:hAnsi="Bookman Old Style"/>
          <w:sz w:val="28"/>
          <w:szCs w:val="28"/>
        </w:rPr>
        <w:br/>
      </w:r>
      <w:r w:rsidR="00B140C4">
        <w:rPr>
          <w:rFonts w:ascii="Bookman Old Style" w:hAnsi="Bookman Old Style"/>
        </w:rPr>
        <w:t xml:space="preserve"> </w:t>
      </w:r>
      <w:r w:rsidR="004D549F" w:rsidRPr="008D22A7">
        <w:rPr>
          <w:rFonts w:ascii="Bookman Old Style" w:hAnsi="Bookman Old Style"/>
          <w:b/>
          <w:i/>
        </w:rPr>
        <w:t xml:space="preserve">                       </w:t>
      </w:r>
    </w:p>
    <w:p w:rsidR="00CF4BD7" w:rsidRDefault="003E5F8A" w:rsidP="003E5F8A">
      <w:pPr>
        <w:pStyle w:val="NoSpacing"/>
        <w:spacing w:line="480" w:lineRule="auto"/>
        <w:jc w:val="both"/>
        <w:rPr>
          <w:rFonts w:ascii="Bookman Old Style" w:hAnsi="Bookman Old Style"/>
          <w:sz w:val="28"/>
          <w:szCs w:val="28"/>
        </w:rPr>
      </w:pPr>
      <w:r>
        <w:rPr>
          <w:rFonts w:ascii="Bookman Old Style" w:hAnsi="Bookman Old Style"/>
          <w:sz w:val="28"/>
          <w:szCs w:val="28"/>
        </w:rPr>
        <w:tab/>
      </w:r>
      <w:r w:rsidR="003E1D03">
        <w:rPr>
          <w:rFonts w:ascii="Bookman Old Style" w:hAnsi="Bookman Old Style"/>
          <w:sz w:val="28"/>
          <w:szCs w:val="28"/>
        </w:rPr>
        <w:t>Counsel further argued</w:t>
      </w:r>
      <w:r>
        <w:rPr>
          <w:rFonts w:ascii="Bookman Old Style" w:hAnsi="Bookman Old Style"/>
          <w:sz w:val="28"/>
          <w:szCs w:val="28"/>
        </w:rPr>
        <w:t xml:space="preserve"> that the Court below misdirected itself in law when it construed Section 286</w:t>
      </w:r>
      <w:r w:rsidR="00D353F5">
        <w:rPr>
          <w:rFonts w:ascii="Bookman Old Style" w:hAnsi="Bookman Old Style"/>
          <w:sz w:val="28"/>
          <w:szCs w:val="28"/>
        </w:rPr>
        <w:t xml:space="preserve">(1) of the Companies Act </w:t>
      </w:r>
      <w:r>
        <w:rPr>
          <w:rFonts w:ascii="Bookman Old Style" w:hAnsi="Bookman Old Style"/>
          <w:sz w:val="28"/>
          <w:szCs w:val="28"/>
        </w:rPr>
        <w:t xml:space="preserve">to </w:t>
      </w:r>
    </w:p>
    <w:p w:rsidR="00CF4BD7" w:rsidRDefault="00CF4BD7" w:rsidP="00CF4BD7">
      <w:pPr>
        <w:pStyle w:val="NoSpacing"/>
        <w:spacing w:line="480" w:lineRule="auto"/>
        <w:jc w:val="right"/>
        <w:rPr>
          <w:rFonts w:ascii="Bookman Old Style" w:hAnsi="Bookman Old Style"/>
          <w:sz w:val="28"/>
          <w:szCs w:val="28"/>
        </w:rPr>
      </w:pPr>
      <w:r>
        <w:rPr>
          <w:rFonts w:ascii="Bookman Old Style" w:hAnsi="Bookman Old Style"/>
          <w:sz w:val="28"/>
          <w:szCs w:val="28"/>
        </w:rPr>
        <w:lastRenderedPageBreak/>
        <w:t>14</w:t>
      </w:r>
    </w:p>
    <w:p w:rsidR="0003637B" w:rsidRDefault="003E5F8A" w:rsidP="003E5F8A">
      <w:pPr>
        <w:pStyle w:val="NoSpacing"/>
        <w:spacing w:line="480" w:lineRule="auto"/>
        <w:jc w:val="both"/>
        <w:rPr>
          <w:rFonts w:ascii="Bookman Old Style" w:hAnsi="Bookman Old Style"/>
          <w:sz w:val="28"/>
          <w:szCs w:val="28"/>
        </w:rPr>
      </w:pPr>
      <w:r>
        <w:rPr>
          <w:rFonts w:ascii="Bookman Old Style" w:hAnsi="Bookman Old Style"/>
          <w:sz w:val="28"/>
          <w:szCs w:val="28"/>
        </w:rPr>
        <w:t xml:space="preserve">mean that the control of assets of a liquidated company is in the liquidator and not the receiver/manager.  Counsel submitted that the crucial words in this Section are </w:t>
      </w:r>
      <w:r w:rsidRPr="003E5F8A">
        <w:rPr>
          <w:rFonts w:ascii="Bookman Old Style" w:hAnsi="Bookman Old Style"/>
          <w:b/>
          <w:i/>
          <w:sz w:val="28"/>
          <w:szCs w:val="28"/>
        </w:rPr>
        <w:t xml:space="preserve">‘property and things in action to which the company is or appears to be entitled.’ </w:t>
      </w:r>
      <w:r>
        <w:rPr>
          <w:rFonts w:ascii="Bookman Old Style" w:hAnsi="Bookman Old Style"/>
          <w:b/>
          <w:i/>
          <w:sz w:val="28"/>
          <w:szCs w:val="28"/>
        </w:rPr>
        <w:t xml:space="preserve">  </w:t>
      </w:r>
      <w:r>
        <w:rPr>
          <w:rFonts w:ascii="Bookman Old Style" w:hAnsi="Bookman Old Style"/>
          <w:sz w:val="28"/>
          <w:szCs w:val="28"/>
        </w:rPr>
        <w:t xml:space="preserve">Counsel submitted that if the company has been charged by way of </w:t>
      </w:r>
      <w:r w:rsidR="003E1D03">
        <w:rPr>
          <w:rFonts w:ascii="Bookman Old Style" w:hAnsi="Bookman Old Style"/>
          <w:sz w:val="28"/>
          <w:szCs w:val="28"/>
        </w:rPr>
        <w:t xml:space="preserve">a </w:t>
      </w:r>
      <w:r>
        <w:rPr>
          <w:rFonts w:ascii="Bookman Old Style" w:hAnsi="Bookman Old Style"/>
          <w:sz w:val="28"/>
          <w:szCs w:val="28"/>
        </w:rPr>
        <w:t xml:space="preserve">floating charge </w:t>
      </w:r>
      <w:r w:rsidR="009A600D" w:rsidRPr="009A600D">
        <w:rPr>
          <w:rFonts w:ascii="Bookman Old Style" w:hAnsi="Bookman Old Style"/>
          <w:b/>
          <w:i/>
          <w:sz w:val="28"/>
          <w:szCs w:val="28"/>
        </w:rPr>
        <w:t>“</w:t>
      </w:r>
      <w:r w:rsidRPr="009A600D">
        <w:rPr>
          <w:rFonts w:ascii="Bookman Old Style" w:hAnsi="Bookman Old Style"/>
          <w:b/>
          <w:i/>
          <w:sz w:val="28"/>
          <w:szCs w:val="28"/>
        </w:rPr>
        <w:t>on all its undertaking</w:t>
      </w:r>
      <w:r w:rsidR="003E1D03" w:rsidRPr="009A600D">
        <w:rPr>
          <w:rFonts w:ascii="Bookman Old Style" w:hAnsi="Bookman Old Style"/>
          <w:b/>
          <w:i/>
          <w:sz w:val="28"/>
          <w:szCs w:val="28"/>
        </w:rPr>
        <w:t>,</w:t>
      </w:r>
      <w:r w:rsidRPr="009A600D">
        <w:rPr>
          <w:rFonts w:ascii="Bookman Old Style" w:hAnsi="Bookman Old Style"/>
          <w:b/>
          <w:i/>
          <w:sz w:val="28"/>
          <w:szCs w:val="28"/>
        </w:rPr>
        <w:t xml:space="preserve"> property assets and rights whatsoever and wheresoever</w:t>
      </w:r>
      <w:r w:rsidR="003E1D03" w:rsidRPr="009A600D">
        <w:rPr>
          <w:rFonts w:ascii="Bookman Old Style" w:hAnsi="Bookman Old Style"/>
          <w:b/>
          <w:i/>
          <w:sz w:val="28"/>
          <w:szCs w:val="28"/>
        </w:rPr>
        <w:t>,</w:t>
      </w:r>
      <w:r w:rsidR="009A600D" w:rsidRPr="009A600D">
        <w:rPr>
          <w:rFonts w:ascii="Bookman Old Style" w:hAnsi="Bookman Old Style"/>
          <w:b/>
          <w:i/>
          <w:sz w:val="28"/>
          <w:szCs w:val="28"/>
        </w:rPr>
        <w:t>”</w:t>
      </w:r>
      <w:r w:rsidR="003E1D03">
        <w:rPr>
          <w:rFonts w:ascii="Bookman Old Style" w:hAnsi="Bookman Old Style"/>
          <w:sz w:val="28"/>
          <w:szCs w:val="28"/>
        </w:rPr>
        <w:t xml:space="preserve"> as stated in Clause 2 of the D</w:t>
      </w:r>
      <w:r>
        <w:rPr>
          <w:rFonts w:ascii="Bookman Old Style" w:hAnsi="Bookman Old Style"/>
          <w:sz w:val="28"/>
          <w:szCs w:val="28"/>
        </w:rPr>
        <w:t>ebenture</w:t>
      </w:r>
      <w:r w:rsidR="003E1D03">
        <w:rPr>
          <w:rFonts w:ascii="Bookman Old Style" w:hAnsi="Bookman Old Style"/>
          <w:sz w:val="28"/>
          <w:szCs w:val="28"/>
        </w:rPr>
        <w:t xml:space="preserve"> in this case</w:t>
      </w:r>
      <w:r w:rsidR="009A600D">
        <w:rPr>
          <w:rFonts w:ascii="Bookman Old Style" w:hAnsi="Bookman Old Style"/>
          <w:sz w:val="28"/>
          <w:szCs w:val="28"/>
        </w:rPr>
        <w:t>,</w:t>
      </w:r>
      <w:r>
        <w:rPr>
          <w:rFonts w:ascii="Bookman Old Style" w:hAnsi="Bookman Old Style"/>
          <w:sz w:val="28"/>
          <w:szCs w:val="28"/>
        </w:rPr>
        <w:t xml:space="preserve"> and</w:t>
      </w:r>
      <w:r w:rsidR="009A600D">
        <w:rPr>
          <w:rFonts w:ascii="Bookman Old Style" w:hAnsi="Bookman Old Style"/>
          <w:sz w:val="28"/>
          <w:szCs w:val="28"/>
        </w:rPr>
        <w:t>,</w:t>
      </w:r>
      <w:r>
        <w:rPr>
          <w:rFonts w:ascii="Bookman Old Style" w:hAnsi="Bookman Old Style"/>
          <w:sz w:val="28"/>
          <w:szCs w:val="28"/>
        </w:rPr>
        <w:t xml:space="preserve"> the debenture holder proceeds to appoint a receiver/manager, then there are no assets over which the liquida</w:t>
      </w:r>
      <w:r w:rsidR="00D732A0">
        <w:rPr>
          <w:rFonts w:ascii="Bookman Old Style" w:hAnsi="Bookman Old Style"/>
          <w:sz w:val="28"/>
          <w:szCs w:val="28"/>
        </w:rPr>
        <w:t>tor can have custody or control.   H</w:t>
      </w:r>
      <w:r>
        <w:rPr>
          <w:rFonts w:ascii="Bookman Old Style" w:hAnsi="Bookman Old Style"/>
          <w:sz w:val="28"/>
          <w:szCs w:val="28"/>
        </w:rPr>
        <w:t>e argued that in such circumstances</w:t>
      </w:r>
      <w:r w:rsidR="003E1D03">
        <w:rPr>
          <w:rFonts w:ascii="Bookman Old Style" w:hAnsi="Bookman Old Style"/>
          <w:sz w:val="28"/>
          <w:szCs w:val="28"/>
        </w:rPr>
        <w:t>,</w:t>
      </w:r>
      <w:r>
        <w:rPr>
          <w:rFonts w:ascii="Bookman Old Style" w:hAnsi="Bookman Old Style"/>
          <w:sz w:val="28"/>
          <w:szCs w:val="28"/>
        </w:rPr>
        <w:t xml:space="preserve"> the liquidator</w:t>
      </w:r>
      <w:r w:rsidR="00D732A0">
        <w:rPr>
          <w:rFonts w:ascii="Bookman Old Style" w:hAnsi="Bookman Old Style"/>
          <w:sz w:val="28"/>
          <w:szCs w:val="28"/>
        </w:rPr>
        <w:t xml:space="preserve"> will simply have to wait for the debenture to be discharged </w:t>
      </w:r>
      <w:r w:rsidR="00A56ED7">
        <w:rPr>
          <w:rFonts w:ascii="Bookman Old Style" w:hAnsi="Bookman Old Style"/>
          <w:sz w:val="28"/>
          <w:szCs w:val="28"/>
        </w:rPr>
        <w:t>and once this is done, he can have the right to any surplus assets thereafter.  Counsel sub</w:t>
      </w:r>
      <w:r w:rsidR="00557510">
        <w:rPr>
          <w:rFonts w:ascii="Bookman Old Style" w:hAnsi="Bookman Old Style"/>
          <w:sz w:val="28"/>
          <w:szCs w:val="28"/>
        </w:rPr>
        <w:t>mitted that the liquidator is only</w:t>
      </w:r>
      <w:r w:rsidR="00A56ED7">
        <w:rPr>
          <w:rFonts w:ascii="Bookman Old Style" w:hAnsi="Bookman Old Style"/>
          <w:sz w:val="28"/>
          <w:szCs w:val="28"/>
        </w:rPr>
        <w:t xml:space="preserve"> entitled to the control of assets </w:t>
      </w:r>
      <w:r w:rsidR="00557510">
        <w:rPr>
          <w:rFonts w:ascii="Bookman Old Style" w:hAnsi="Bookman Old Style"/>
          <w:sz w:val="28"/>
          <w:szCs w:val="28"/>
        </w:rPr>
        <w:t>which lie outside the charge and</w:t>
      </w:r>
      <w:r w:rsidR="00A56ED7">
        <w:rPr>
          <w:rFonts w:ascii="Bookman Old Style" w:hAnsi="Bookman Old Style"/>
          <w:sz w:val="28"/>
          <w:szCs w:val="28"/>
        </w:rPr>
        <w:t xml:space="preserve"> that in this case</w:t>
      </w:r>
      <w:r w:rsidR="00557510">
        <w:rPr>
          <w:rFonts w:ascii="Bookman Old Style" w:hAnsi="Bookman Old Style"/>
          <w:sz w:val="28"/>
          <w:szCs w:val="28"/>
        </w:rPr>
        <w:t>,</w:t>
      </w:r>
      <w:r w:rsidR="00A56ED7">
        <w:rPr>
          <w:rFonts w:ascii="Bookman Old Style" w:hAnsi="Bookman Old Style"/>
          <w:sz w:val="28"/>
          <w:szCs w:val="28"/>
        </w:rPr>
        <w:t xml:space="preserve"> there were no such assets.</w:t>
      </w:r>
      <w:r w:rsidR="00557510">
        <w:rPr>
          <w:rFonts w:ascii="Bookman Old Style" w:hAnsi="Bookman Old Style"/>
          <w:sz w:val="28"/>
          <w:szCs w:val="28"/>
        </w:rPr>
        <w:t xml:space="preserve">  He stated further that all assets in this case were </w:t>
      </w:r>
      <w:r w:rsidR="00A56ED7">
        <w:rPr>
          <w:rFonts w:ascii="Bookman Old Style" w:hAnsi="Bookman Old Style"/>
          <w:sz w:val="28"/>
          <w:szCs w:val="28"/>
        </w:rPr>
        <w:t>charged and were</w:t>
      </w:r>
      <w:r w:rsidR="00557510">
        <w:rPr>
          <w:rFonts w:ascii="Bookman Old Style" w:hAnsi="Bookman Old Style"/>
          <w:sz w:val="28"/>
          <w:szCs w:val="28"/>
        </w:rPr>
        <w:t xml:space="preserve"> therefore </w:t>
      </w:r>
      <w:r w:rsidR="00A56ED7">
        <w:rPr>
          <w:rFonts w:ascii="Bookman Old Style" w:hAnsi="Bookman Old Style"/>
          <w:sz w:val="28"/>
          <w:szCs w:val="28"/>
        </w:rPr>
        <w:t>under the cont</w:t>
      </w:r>
      <w:r w:rsidR="00557510">
        <w:rPr>
          <w:rFonts w:ascii="Bookman Old Style" w:hAnsi="Bookman Old Style"/>
          <w:sz w:val="28"/>
          <w:szCs w:val="28"/>
        </w:rPr>
        <w:t>rol and custody of the receiver/</w:t>
      </w:r>
      <w:r w:rsidR="00A56ED7">
        <w:rPr>
          <w:rFonts w:ascii="Bookman Old Style" w:hAnsi="Bookman Old Style"/>
          <w:sz w:val="28"/>
          <w:szCs w:val="28"/>
        </w:rPr>
        <w:t>manager</w:t>
      </w:r>
      <w:r w:rsidR="00557510">
        <w:rPr>
          <w:rFonts w:ascii="Bookman Old Style" w:hAnsi="Bookman Old Style"/>
          <w:sz w:val="28"/>
          <w:szCs w:val="28"/>
        </w:rPr>
        <w:t>.  That such would have to be</w:t>
      </w:r>
      <w:r w:rsidR="00B51790">
        <w:rPr>
          <w:rFonts w:ascii="Bookman Old Style" w:hAnsi="Bookman Old Style"/>
          <w:sz w:val="28"/>
          <w:szCs w:val="28"/>
        </w:rPr>
        <w:t xml:space="preserve"> </w:t>
      </w:r>
      <w:r w:rsidR="00A56ED7">
        <w:rPr>
          <w:rFonts w:ascii="Bookman Old Style" w:hAnsi="Bookman Old Style"/>
          <w:sz w:val="28"/>
          <w:szCs w:val="28"/>
        </w:rPr>
        <w:t xml:space="preserve">realized or disposed </w:t>
      </w:r>
      <w:r w:rsidR="00B664BC">
        <w:rPr>
          <w:rFonts w:ascii="Bookman Old Style" w:hAnsi="Bookman Old Style"/>
          <w:sz w:val="28"/>
          <w:szCs w:val="28"/>
        </w:rPr>
        <w:t>of under the terms of the</w:t>
      </w:r>
      <w:r w:rsidR="001A19EC">
        <w:rPr>
          <w:rFonts w:ascii="Bookman Old Style" w:hAnsi="Bookman Old Style"/>
          <w:sz w:val="28"/>
          <w:szCs w:val="28"/>
        </w:rPr>
        <w:t xml:space="preserve"> debenture.  To support his conten</w:t>
      </w:r>
      <w:r w:rsidR="00B664BC">
        <w:rPr>
          <w:rFonts w:ascii="Bookman Old Style" w:hAnsi="Bookman Old Style"/>
          <w:sz w:val="28"/>
          <w:szCs w:val="28"/>
        </w:rPr>
        <w:t>tion, Co</w:t>
      </w:r>
      <w:r w:rsidR="001A19EC">
        <w:rPr>
          <w:rFonts w:ascii="Bookman Old Style" w:hAnsi="Bookman Old Style"/>
          <w:sz w:val="28"/>
          <w:szCs w:val="28"/>
        </w:rPr>
        <w:t xml:space="preserve">unsel referred us to </w:t>
      </w:r>
    </w:p>
    <w:p w:rsidR="0003637B" w:rsidRDefault="0003637B" w:rsidP="0003637B">
      <w:pPr>
        <w:pStyle w:val="NoSpacing"/>
        <w:spacing w:line="480" w:lineRule="auto"/>
        <w:jc w:val="right"/>
        <w:rPr>
          <w:rFonts w:ascii="Bookman Old Style" w:hAnsi="Bookman Old Style"/>
          <w:sz w:val="28"/>
          <w:szCs w:val="28"/>
        </w:rPr>
      </w:pPr>
      <w:r>
        <w:rPr>
          <w:rFonts w:ascii="Bookman Old Style" w:hAnsi="Bookman Old Style"/>
          <w:sz w:val="28"/>
          <w:szCs w:val="28"/>
        </w:rPr>
        <w:lastRenderedPageBreak/>
        <w:t>15</w:t>
      </w:r>
    </w:p>
    <w:p w:rsidR="003E5F8A" w:rsidRDefault="001A19EC" w:rsidP="003E5F8A">
      <w:pPr>
        <w:pStyle w:val="NoSpacing"/>
        <w:spacing w:line="480" w:lineRule="auto"/>
        <w:jc w:val="both"/>
        <w:rPr>
          <w:rFonts w:ascii="Bookman Old Style" w:hAnsi="Bookman Old Style"/>
          <w:sz w:val="28"/>
          <w:szCs w:val="28"/>
        </w:rPr>
      </w:pPr>
      <w:r>
        <w:rPr>
          <w:rFonts w:ascii="Bookman Old Style" w:hAnsi="Bookman Old Style"/>
          <w:sz w:val="28"/>
          <w:szCs w:val="28"/>
        </w:rPr>
        <w:t>the book by</w:t>
      </w:r>
      <w:r w:rsidR="00B664BC">
        <w:rPr>
          <w:rFonts w:ascii="Bookman Old Style" w:hAnsi="Bookman Old Style"/>
          <w:sz w:val="28"/>
          <w:szCs w:val="28"/>
        </w:rPr>
        <w:t xml:space="preserve"> L.C.B. GOWER</w:t>
      </w:r>
      <w:r>
        <w:rPr>
          <w:rFonts w:ascii="Bookman Old Style" w:hAnsi="Bookman Old Style"/>
          <w:sz w:val="28"/>
          <w:szCs w:val="28"/>
        </w:rPr>
        <w:t xml:space="preserve">, </w:t>
      </w:r>
      <w:r w:rsidR="00B664BC" w:rsidRPr="00B664BC">
        <w:rPr>
          <w:rFonts w:ascii="Bookman Old Style" w:hAnsi="Bookman Old Style"/>
          <w:b/>
          <w:sz w:val="28"/>
          <w:szCs w:val="28"/>
        </w:rPr>
        <w:t>MODERN COMPANY LAW</w:t>
      </w:r>
      <w:r>
        <w:rPr>
          <w:rFonts w:ascii="Bookman Old Style" w:hAnsi="Bookman Old Style"/>
          <w:b/>
          <w:sz w:val="28"/>
          <w:szCs w:val="28"/>
        </w:rPr>
        <w:t></w:t>
      </w:r>
      <w:r w:rsidR="00B664BC" w:rsidRPr="00B664BC">
        <w:rPr>
          <w:rFonts w:ascii="Bookman Old Style" w:hAnsi="Bookman Old Style"/>
          <w:b/>
          <w:sz w:val="28"/>
          <w:szCs w:val="28"/>
        </w:rPr>
        <w:t>,</w:t>
      </w:r>
      <w:r w:rsidR="00B664BC">
        <w:rPr>
          <w:rFonts w:ascii="Bookman Old Style" w:hAnsi="Bookman Old Style"/>
          <w:sz w:val="28"/>
          <w:szCs w:val="28"/>
        </w:rPr>
        <w:t xml:space="preserve"> who described such charges as equitable.</w:t>
      </w:r>
      <w:r w:rsidR="003E5F8A">
        <w:rPr>
          <w:rFonts w:ascii="Bookman Old Style" w:hAnsi="Bookman Old Style"/>
          <w:sz w:val="28"/>
          <w:szCs w:val="28"/>
        </w:rPr>
        <w:t xml:space="preserve"> </w:t>
      </w:r>
      <w:r w:rsidR="00B51790">
        <w:rPr>
          <w:rFonts w:ascii="Bookman Old Style" w:hAnsi="Bookman Old Style"/>
          <w:sz w:val="28"/>
          <w:szCs w:val="28"/>
        </w:rPr>
        <w:t xml:space="preserve"> The author</w:t>
      </w:r>
      <w:r w:rsidR="00B664BC">
        <w:rPr>
          <w:rFonts w:ascii="Bookman Old Style" w:hAnsi="Bookman Old Style"/>
          <w:sz w:val="28"/>
          <w:szCs w:val="28"/>
        </w:rPr>
        <w:t xml:space="preserve"> state</w:t>
      </w:r>
      <w:r w:rsidR="00B51790">
        <w:rPr>
          <w:rFonts w:ascii="Bookman Old Style" w:hAnsi="Bookman Old Style"/>
          <w:sz w:val="28"/>
          <w:szCs w:val="28"/>
        </w:rPr>
        <w:t>s</w:t>
      </w:r>
      <w:r w:rsidR="00B664BC">
        <w:rPr>
          <w:rFonts w:ascii="Bookman Old Style" w:hAnsi="Bookman Old Style"/>
          <w:sz w:val="28"/>
          <w:szCs w:val="28"/>
        </w:rPr>
        <w:t>:</w:t>
      </w:r>
    </w:p>
    <w:p w:rsidR="00B664BC" w:rsidRDefault="00B664BC" w:rsidP="00B664BC">
      <w:pPr>
        <w:pStyle w:val="NoSpacing"/>
        <w:ind w:left="720"/>
        <w:jc w:val="both"/>
        <w:rPr>
          <w:rFonts w:ascii="Bookman Old Style" w:hAnsi="Bookman Old Style"/>
          <w:b/>
        </w:rPr>
      </w:pPr>
      <w:r>
        <w:rPr>
          <w:rFonts w:ascii="Bookman Old Style" w:hAnsi="Bookman Old Style"/>
          <w:b/>
        </w:rPr>
        <w:t>“Such a charge is, therefore, a particularly valuable means whereby a business concern can raise money without removing any of its property from the business.  The charge remains floating and the property liquid until some default is made and the debenture holder takes steps to enforce his security or until winding up commences.  When that occurs, the charge crystallizes and is converted into a normal fixed charge on the assets of the company at the time of crystallization.”</w:t>
      </w:r>
    </w:p>
    <w:p w:rsidR="00282453" w:rsidRPr="00B664BC" w:rsidRDefault="00282453" w:rsidP="00B664BC">
      <w:pPr>
        <w:pStyle w:val="NoSpacing"/>
        <w:ind w:left="720"/>
        <w:jc w:val="both"/>
        <w:rPr>
          <w:rFonts w:ascii="Bookman Old Style" w:hAnsi="Bookman Old Style"/>
          <w:b/>
        </w:rPr>
      </w:pPr>
    </w:p>
    <w:p w:rsidR="003142A9" w:rsidRDefault="00DD6231" w:rsidP="003E5F8A">
      <w:pPr>
        <w:pStyle w:val="NoSpacing"/>
        <w:spacing w:line="480" w:lineRule="auto"/>
        <w:jc w:val="both"/>
        <w:rPr>
          <w:rFonts w:ascii="Bookman Old Style" w:hAnsi="Bookman Old Style"/>
          <w:sz w:val="28"/>
          <w:szCs w:val="28"/>
        </w:rPr>
      </w:pPr>
      <w:r w:rsidRPr="00DD6231">
        <w:rPr>
          <w:rFonts w:ascii="Bookman Old Style" w:hAnsi="Bookman Old Style"/>
          <w:sz w:val="28"/>
          <w:szCs w:val="28"/>
        </w:rPr>
        <w:t xml:space="preserve">Counsel submitted that in this case, the debenture holder intervened and </w:t>
      </w:r>
      <w:r>
        <w:rPr>
          <w:rFonts w:ascii="Bookman Old Style" w:hAnsi="Bookman Old Style"/>
          <w:sz w:val="28"/>
          <w:szCs w:val="28"/>
        </w:rPr>
        <w:t>appointed a receiver throug</w:t>
      </w:r>
      <w:r w:rsidR="00F40A3C">
        <w:rPr>
          <w:rFonts w:ascii="Bookman Old Style" w:hAnsi="Bookman Old Style"/>
          <w:sz w:val="28"/>
          <w:szCs w:val="28"/>
        </w:rPr>
        <w:t>h a deed which was registered by</w:t>
      </w:r>
      <w:r>
        <w:rPr>
          <w:rFonts w:ascii="Bookman Old Style" w:hAnsi="Bookman Old Style"/>
          <w:sz w:val="28"/>
          <w:szCs w:val="28"/>
        </w:rPr>
        <w:t xml:space="preserve"> the Registrar of Companies and in the circumstances, all the property should be in the control and custody of the receiver/manager.</w:t>
      </w:r>
    </w:p>
    <w:p w:rsidR="0003637B" w:rsidRDefault="003142A9" w:rsidP="003E5F8A">
      <w:pPr>
        <w:pStyle w:val="NoSpacing"/>
        <w:spacing w:line="480" w:lineRule="auto"/>
        <w:jc w:val="both"/>
        <w:rPr>
          <w:rFonts w:ascii="Bookman Old Style" w:hAnsi="Bookman Old Style"/>
          <w:sz w:val="28"/>
          <w:szCs w:val="28"/>
        </w:rPr>
      </w:pPr>
      <w:r>
        <w:rPr>
          <w:rFonts w:ascii="Bookman Old Style" w:hAnsi="Bookman Old Style"/>
          <w:sz w:val="28"/>
          <w:szCs w:val="28"/>
        </w:rPr>
        <w:tab/>
        <w:t>We entirely agree with the views of the various authors that have been referred to us.  They represent the correct position of the law on the relationship</w:t>
      </w:r>
      <w:r w:rsidR="00CB4375">
        <w:rPr>
          <w:rFonts w:ascii="Bookman Old Style" w:hAnsi="Bookman Old Style"/>
          <w:sz w:val="28"/>
          <w:szCs w:val="28"/>
        </w:rPr>
        <w:t xml:space="preserve"> between a receiver and a liquidator in a winding-up of a company.  </w:t>
      </w:r>
      <w:r w:rsidR="00F40A3C">
        <w:rPr>
          <w:rFonts w:ascii="Bookman Old Style" w:hAnsi="Bookman Old Style"/>
          <w:sz w:val="28"/>
          <w:szCs w:val="28"/>
        </w:rPr>
        <w:t>It is our view that the Court below seriously misdirected itse</w:t>
      </w:r>
      <w:r w:rsidR="00CB4375">
        <w:rPr>
          <w:rFonts w:ascii="Bookman Old Style" w:hAnsi="Bookman Old Style"/>
          <w:sz w:val="28"/>
          <w:szCs w:val="28"/>
        </w:rPr>
        <w:t xml:space="preserve">lf on fundamental issues in this </w:t>
      </w:r>
      <w:r w:rsidR="00F40A3C">
        <w:rPr>
          <w:rFonts w:ascii="Bookman Old Style" w:hAnsi="Bookman Old Style"/>
          <w:sz w:val="28"/>
          <w:szCs w:val="28"/>
        </w:rPr>
        <w:t>relationship</w:t>
      </w:r>
      <w:r w:rsidR="00CB4375">
        <w:rPr>
          <w:rFonts w:ascii="Bookman Old Style" w:hAnsi="Bookman Old Style"/>
          <w:sz w:val="28"/>
          <w:szCs w:val="28"/>
        </w:rPr>
        <w:t>.</w:t>
      </w:r>
      <w:r w:rsidR="00F40A3C">
        <w:rPr>
          <w:rFonts w:ascii="Bookman Old Style" w:hAnsi="Bookman Old Style"/>
          <w:sz w:val="28"/>
          <w:szCs w:val="28"/>
        </w:rPr>
        <w:t xml:space="preserve"> Granted, Section 286(1) of the </w:t>
      </w:r>
      <w:r w:rsidR="00E52EDE">
        <w:rPr>
          <w:rFonts w:ascii="Bookman Old Style" w:hAnsi="Bookman Old Style"/>
          <w:sz w:val="28"/>
          <w:szCs w:val="28"/>
        </w:rPr>
        <w:t xml:space="preserve">Companies Act </w:t>
      </w:r>
      <w:r w:rsidR="00BF115B">
        <w:rPr>
          <w:rFonts w:ascii="Bookman Old Style" w:hAnsi="Bookman Old Style"/>
          <w:sz w:val="28"/>
          <w:szCs w:val="28"/>
        </w:rPr>
        <w:t>stipulates that where a winding</w:t>
      </w:r>
      <w:r w:rsidR="00CB4375">
        <w:rPr>
          <w:rFonts w:ascii="Bookman Old Style" w:hAnsi="Bookman Old Style"/>
          <w:sz w:val="28"/>
          <w:szCs w:val="28"/>
        </w:rPr>
        <w:t>-up</w:t>
      </w:r>
      <w:r w:rsidR="002A3543">
        <w:rPr>
          <w:rFonts w:ascii="Bookman Old Style" w:hAnsi="Bookman Old Style"/>
          <w:sz w:val="28"/>
          <w:szCs w:val="28"/>
        </w:rPr>
        <w:t xml:space="preserve"> </w:t>
      </w:r>
      <w:r w:rsidR="00CB4375">
        <w:rPr>
          <w:rFonts w:ascii="Bookman Old Style" w:hAnsi="Bookman Old Style"/>
          <w:sz w:val="28"/>
          <w:szCs w:val="28"/>
        </w:rPr>
        <w:t>o</w:t>
      </w:r>
      <w:r w:rsidR="00084821">
        <w:rPr>
          <w:rFonts w:ascii="Bookman Old Style" w:hAnsi="Bookman Old Style"/>
          <w:sz w:val="28"/>
          <w:szCs w:val="28"/>
        </w:rPr>
        <w:t xml:space="preserve">rder has been made and a liquidator appointed, that liquidator takes into custody and control </w:t>
      </w:r>
    </w:p>
    <w:p w:rsidR="0003637B" w:rsidRDefault="0003637B" w:rsidP="0003637B">
      <w:pPr>
        <w:pStyle w:val="NoSpacing"/>
        <w:spacing w:line="480" w:lineRule="auto"/>
        <w:jc w:val="right"/>
        <w:rPr>
          <w:rFonts w:ascii="Bookman Old Style" w:hAnsi="Bookman Old Style"/>
          <w:sz w:val="28"/>
          <w:szCs w:val="28"/>
        </w:rPr>
      </w:pPr>
    </w:p>
    <w:p w:rsidR="00D67E31" w:rsidRDefault="00D67E31" w:rsidP="00D67E31">
      <w:pPr>
        <w:pStyle w:val="NoSpacing"/>
        <w:spacing w:line="480" w:lineRule="auto"/>
        <w:jc w:val="right"/>
        <w:rPr>
          <w:rFonts w:ascii="Bookman Old Style" w:hAnsi="Bookman Old Style"/>
          <w:sz w:val="28"/>
          <w:szCs w:val="28"/>
        </w:rPr>
      </w:pPr>
      <w:r>
        <w:rPr>
          <w:rFonts w:ascii="Bookman Old Style" w:hAnsi="Bookman Old Style"/>
          <w:sz w:val="28"/>
          <w:szCs w:val="28"/>
        </w:rPr>
        <w:lastRenderedPageBreak/>
        <w:t>16</w:t>
      </w:r>
    </w:p>
    <w:p w:rsidR="00DD6231" w:rsidRDefault="00084821" w:rsidP="003E5F8A">
      <w:pPr>
        <w:pStyle w:val="NoSpacing"/>
        <w:spacing w:line="480" w:lineRule="auto"/>
        <w:jc w:val="both"/>
        <w:rPr>
          <w:rFonts w:ascii="Bookman Old Style" w:hAnsi="Bookman Old Style"/>
          <w:sz w:val="28"/>
          <w:szCs w:val="28"/>
        </w:rPr>
      </w:pPr>
      <w:r>
        <w:rPr>
          <w:rFonts w:ascii="Bookman Old Style" w:hAnsi="Bookman Old Style"/>
          <w:sz w:val="28"/>
          <w:szCs w:val="28"/>
        </w:rPr>
        <w:t>all the property and things to which the company is entitled.</w:t>
      </w:r>
      <w:r w:rsidR="00FB6DD2">
        <w:rPr>
          <w:rFonts w:ascii="Bookman Old Style" w:hAnsi="Bookman Old Style"/>
          <w:sz w:val="28"/>
          <w:szCs w:val="28"/>
        </w:rPr>
        <w:t xml:space="preserve">  But this is a case in which there is no receiver appointed.</w:t>
      </w:r>
      <w:r>
        <w:rPr>
          <w:rFonts w:ascii="Bookman Old Style" w:hAnsi="Bookman Old Style"/>
          <w:sz w:val="28"/>
          <w:szCs w:val="28"/>
        </w:rPr>
        <w:t xml:space="preserve"> </w:t>
      </w:r>
      <w:r w:rsidR="00E8186F">
        <w:rPr>
          <w:rFonts w:ascii="Bookman Old Style" w:hAnsi="Bookman Old Style"/>
          <w:sz w:val="28"/>
          <w:szCs w:val="28"/>
        </w:rPr>
        <w:t xml:space="preserve"> </w:t>
      </w:r>
      <w:r>
        <w:rPr>
          <w:rFonts w:ascii="Bookman Old Style" w:hAnsi="Bookman Old Style"/>
          <w:sz w:val="28"/>
          <w:szCs w:val="28"/>
        </w:rPr>
        <w:t xml:space="preserve"> It is trite that a debenture holder </w:t>
      </w:r>
      <w:r w:rsidR="00CB4375">
        <w:rPr>
          <w:rFonts w:ascii="Bookman Old Style" w:hAnsi="Bookman Old Style"/>
          <w:sz w:val="28"/>
          <w:szCs w:val="28"/>
        </w:rPr>
        <w:t>can appoint a receiver if a charge on a company</w:t>
      </w:r>
      <w:r>
        <w:rPr>
          <w:rFonts w:ascii="Bookman Old Style" w:hAnsi="Bookman Old Style"/>
          <w:sz w:val="28"/>
          <w:szCs w:val="28"/>
        </w:rPr>
        <w:t>’s property h</w:t>
      </w:r>
      <w:r w:rsidR="00CB4375">
        <w:rPr>
          <w:rFonts w:ascii="Bookman Old Style" w:hAnsi="Bookman Old Style"/>
          <w:sz w:val="28"/>
          <w:szCs w:val="28"/>
        </w:rPr>
        <w:t>as become</w:t>
      </w:r>
      <w:r>
        <w:rPr>
          <w:rFonts w:ascii="Bookman Old Style" w:hAnsi="Bookman Old Style"/>
          <w:sz w:val="28"/>
          <w:szCs w:val="28"/>
        </w:rPr>
        <w:t xml:space="preserve"> enforceable.  This was the situation in this case.  The Bank appointed a receiver pursuant to a debenture under which a floating charge was created over all the property of the Appellant Company while the 1</w:t>
      </w:r>
      <w:r w:rsidRPr="00084821">
        <w:rPr>
          <w:rFonts w:ascii="Bookman Old Style" w:hAnsi="Bookman Old Style"/>
          <w:sz w:val="28"/>
          <w:szCs w:val="28"/>
          <w:vertAlign w:val="superscript"/>
        </w:rPr>
        <w:t>st</w:t>
      </w:r>
      <w:r>
        <w:rPr>
          <w:rFonts w:ascii="Bookman Old Style" w:hAnsi="Bookman Old Style"/>
          <w:sz w:val="28"/>
          <w:szCs w:val="28"/>
        </w:rPr>
        <w:t xml:space="preserve"> to the 4</w:t>
      </w:r>
      <w:r w:rsidRPr="00084821">
        <w:rPr>
          <w:rFonts w:ascii="Bookman Old Style" w:hAnsi="Bookman Old Style"/>
          <w:sz w:val="28"/>
          <w:szCs w:val="28"/>
          <w:vertAlign w:val="superscript"/>
        </w:rPr>
        <w:t>th</w:t>
      </w:r>
      <w:r w:rsidR="00CB4375">
        <w:rPr>
          <w:rFonts w:ascii="Bookman Old Style" w:hAnsi="Bookman Old Style"/>
          <w:sz w:val="28"/>
          <w:szCs w:val="28"/>
        </w:rPr>
        <w:t xml:space="preserve"> Respondents</w:t>
      </w:r>
      <w:r>
        <w:rPr>
          <w:rFonts w:ascii="Bookman Old Style" w:hAnsi="Bookman Old Style"/>
          <w:sz w:val="28"/>
          <w:szCs w:val="28"/>
        </w:rPr>
        <w:t xml:space="preserve"> petitioned to wind up the company.</w:t>
      </w:r>
    </w:p>
    <w:p w:rsidR="00AB00CA" w:rsidRDefault="00E52EDE" w:rsidP="003E5F8A">
      <w:pPr>
        <w:pStyle w:val="NoSpacing"/>
        <w:spacing w:line="480" w:lineRule="auto"/>
        <w:jc w:val="both"/>
        <w:rPr>
          <w:rFonts w:ascii="Bookman Old Style" w:hAnsi="Bookman Old Style"/>
          <w:sz w:val="28"/>
          <w:szCs w:val="28"/>
        </w:rPr>
      </w:pPr>
      <w:r>
        <w:rPr>
          <w:rFonts w:ascii="Bookman Old Style" w:hAnsi="Bookman Old Style"/>
          <w:sz w:val="28"/>
          <w:szCs w:val="28"/>
        </w:rPr>
        <w:tab/>
        <w:t xml:space="preserve">The provisions governing receivers are found in Division 5.3 of the </w:t>
      </w:r>
      <w:r w:rsidR="00990496" w:rsidRPr="00990496">
        <w:rPr>
          <w:rFonts w:ascii="Bookman Old Style" w:hAnsi="Bookman Old Style"/>
          <w:b/>
          <w:sz w:val="28"/>
          <w:szCs w:val="28"/>
        </w:rPr>
        <w:t>COMPANIES ACT</w:t>
      </w:r>
      <w:r w:rsidR="00990496">
        <w:rPr>
          <w:rFonts w:ascii="Bookman Old Style" w:hAnsi="Bookman Old Style"/>
          <w:b/>
          <w:sz w:val="28"/>
          <w:szCs w:val="28"/>
        </w:rPr>
        <w:t>¹</w:t>
      </w:r>
      <w:r w:rsidR="00990496" w:rsidRPr="00990496">
        <w:rPr>
          <w:rFonts w:ascii="Bookman Old Style" w:hAnsi="Bookman Old Style"/>
          <w:b/>
          <w:sz w:val="28"/>
          <w:szCs w:val="28"/>
        </w:rPr>
        <w:t>.</w:t>
      </w:r>
      <w:r w:rsidR="00990496">
        <w:rPr>
          <w:rFonts w:ascii="Bookman Old Style" w:hAnsi="Bookman Old Style"/>
          <w:sz w:val="28"/>
          <w:szCs w:val="28"/>
        </w:rPr>
        <w:t xml:space="preserve">  The provisions run from Sections 107 to 118</w:t>
      </w:r>
      <w:r w:rsidR="00E8186F">
        <w:rPr>
          <w:rFonts w:ascii="Bookman Old Style" w:hAnsi="Bookman Old Style"/>
          <w:sz w:val="28"/>
          <w:szCs w:val="28"/>
        </w:rPr>
        <w:t>.  The Judge was alive to these provisions.  They</w:t>
      </w:r>
      <w:r w:rsidR="00990496">
        <w:rPr>
          <w:rFonts w:ascii="Bookman Old Style" w:hAnsi="Bookman Old Style"/>
          <w:sz w:val="28"/>
          <w:szCs w:val="28"/>
        </w:rPr>
        <w:t xml:space="preserve"> </w:t>
      </w:r>
      <w:r>
        <w:rPr>
          <w:rFonts w:ascii="Bookman Old Style" w:hAnsi="Bookman Old Style"/>
          <w:sz w:val="28"/>
          <w:szCs w:val="28"/>
        </w:rPr>
        <w:t>cover</w:t>
      </w:r>
      <w:r w:rsidR="00990496">
        <w:rPr>
          <w:rFonts w:ascii="Bookman Old Style" w:hAnsi="Bookman Old Style"/>
          <w:sz w:val="28"/>
          <w:szCs w:val="28"/>
        </w:rPr>
        <w:t xml:space="preserve"> various aspects</w:t>
      </w:r>
      <w:r w:rsidR="00E8186F">
        <w:rPr>
          <w:rFonts w:ascii="Bookman Old Style" w:hAnsi="Bookman Old Style"/>
          <w:sz w:val="28"/>
          <w:szCs w:val="28"/>
        </w:rPr>
        <w:t>,</w:t>
      </w:r>
      <w:r w:rsidR="00990496">
        <w:rPr>
          <w:rFonts w:ascii="Bookman Old Style" w:hAnsi="Bookman Old Style"/>
          <w:sz w:val="28"/>
          <w:szCs w:val="28"/>
        </w:rPr>
        <w:t xml:space="preserve"> including</w:t>
      </w:r>
      <w:r>
        <w:rPr>
          <w:rFonts w:ascii="Bookman Old Style" w:hAnsi="Bookman Old Style"/>
          <w:sz w:val="28"/>
          <w:szCs w:val="28"/>
        </w:rPr>
        <w:t xml:space="preserve"> the appointment of </w:t>
      </w:r>
      <w:r w:rsidR="00990496">
        <w:rPr>
          <w:rFonts w:ascii="Bookman Old Style" w:hAnsi="Bookman Old Style"/>
          <w:sz w:val="28"/>
          <w:szCs w:val="28"/>
        </w:rPr>
        <w:t>receivers by the Court or</w:t>
      </w:r>
      <w:r w:rsidR="00E8186F">
        <w:rPr>
          <w:rFonts w:ascii="Bookman Old Style" w:hAnsi="Bookman Old Style"/>
          <w:sz w:val="28"/>
          <w:szCs w:val="28"/>
        </w:rPr>
        <w:t xml:space="preserve"> </w:t>
      </w:r>
      <w:r w:rsidR="00990496">
        <w:rPr>
          <w:rFonts w:ascii="Bookman Old Style" w:hAnsi="Bookman Old Style"/>
          <w:sz w:val="28"/>
          <w:szCs w:val="28"/>
        </w:rPr>
        <w:t>otherwise</w:t>
      </w:r>
      <w:r>
        <w:rPr>
          <w:rFonts w:ascii="Bookman Old Style" w:hAnsi="Bookman Old Style"/>
          <w:sz w:val="28"/>
          <w:szCs w:val="28"/>
        </w:rPr>
        <w:t xml:space="preserve"> t</w:t>
      </w:r>
      <w:r w:rsidR="00990496">
        <w:rPr>
          <w:rFonts w:ascii="Bookman Old Style" w:hAnsi="Bookman Old Style"/>
          <w:sz w:val="28"/>
          <w:szCs w:val="28"/>
        </w:rPr>
        <w:t>han</w:t>
      </w:r>
      <w:r w:rsidR="00E8186F">
        <w:rPr>
          <w:rFonts w:ascii="Bookman Old Style" w:hAnsi="Bookman Old Style"/>
          <w:sz w:val="28"/>
          <w:szCs w:val="28"/>
        </w:rPr>
        <w:t xml:space="preserve"> by the Court; </w:t>
      </w:r>
      <w:r w:rsidR="00990496">
        <w:rPr>
          <w:rFonts w:ascii="Bookman Old Style" w:hAnsi="Bookman Old Style"/>
          <w:sz w:val="28"/>
          <w:szCs w:val="28"/>
        </w:rPr>
        <w:t>and</w:t>
      </w:r>
      <w:r w:rsidR="00D67E31">
        <w:rPr>
          <w:rFonts w:ascii="Bookman Old Style" w:hAnsi="Bookman Old Style"/>
          <w:sz w:val="28"/>
          <w:szCs w:val="28"/>
        </w:rPr>
        <w:t>,</w:t>
      </w:r>
      <w:r w:rsidR="00E8186F">
        <w:rPr>
          <w:rFonts w:ascii="Bookman Old Style" w:hAnsi="Bookman Old Style"/>
          <w:sz w:val="28"/>
          <w:szCs w:val="28"/>
        </w:rPr>
        <w:t xml:space="preserve"> eligibility for one to be appointed as a receiver</w:t>
      </w:r>
      <w:r>
        <w:rPr>
          <w:rFonts w:ascii="Bookman Old Style" w:hAnsi="Bookman Old Style"/>
          <w:sz w:val="28"/>
          <w:szCs w:val="28"/>
        </w:rPr>
        <w:t>.  Under Section 110 of the Act, a receiver is required to pay preferential creditors in priority to all other debts in a case where there is no</w:t>
      </w:r>
      <w:r w:rsidR="00A841F4">
        <w:rPr>
          <w:rFonts w:ascii="Bookman Old Style" w:hAnsi="Bookman Old Style"/>
          <w:sz w:val="28"/>
          <w:szCs w:val="28"/>
        </w:rPr>
        <w:t xml:space="preserve"> winding up Order.</w:t>
      </w:r>
      <w:r w:rsidR="00E8186F">
        <w:rPr>
          <w:rFonts w:ascii="Bookman Old Style" w:hAnsi="Bookman Old Style"/>
          <w:sz w:val="28"/>
          <w:szCs w:val="28"/>
        </w:rPr>
        <w:t xml:space="preserve"> There is no provision in this D</w:t>
      </w:r>
      <w:r w:rsidR="00A841F4">
        <w:rPr>
          <w:rFonts w:ascii="Bookman Old Style" w:hAnsi="Bookman Old Style"/>
          <w:sz w:val="28"/>
          <w:szCs w:val="28"/>
        </w:rPr>
        <w:t>ivision dealing with the status of a receiver/manager in a cas</w:t>
      </w:r>
      <w:r w:rsidR="00724377">
        <w:rPr>
          <w:rFonts w:ascii="Bookman Old Style" w:hAnsi="Bookman Old Style"/>
          <w:sz w:val="28"/>
          <w:szCs w:val="28"/>
        </w:rPr>
        <w:t>e where there is a liquidator overseeing</w:t>
      </w:r>
      <w:r w:rsidR="00D67E31">
        <w:rPr>
          <w:rFonts w:ascii="Bookman Old Style" w:hAnsi="Bookman Old Style"/>
          <w:sz w:val="28"/>
          <w:szCs w:val="28"/>
        </w:rPr>
        <w:t xml:space="preserve"> the</w:t>
      </w:r>
      <w:r w:rsidR="00A841F4">
        <w:rPr>
          <w:rFonts w:ascii="Bookman Old Style" w:hAnsi="Bookman Old Style"/>
          <w:sz w:val="28"/>
          <w:szCs w:val="28"/>
        </w:rPr>
        <w:t xml:space="preserve"> wind</w:t>
      </w:r>
      <w:r w:rsidR="00724377">
        <w:rPr>
          <w:rFonts w:ascii="Bookman Old Style" w:hAnsi="Bookman Old Style"/>
          <w:sz w:val="28"/>
          <w:szCs w:val="28"/>
        </w:rPr>
        <w:t>ing up of a</w:t>
      </w:r>
      <w:r w:rsidR="00A841F4">
        <w:rPr>
          <w:rFonts w:ascii="Bookman Old Style" w:hAnsi="Bookman Old Style"/>
          <w:sz w:val="28"/>
          <w:szCs w:val="28"/>
        </w:rPr>
        <w:t xml:space="preserve"> company.  It is our considered view, therefore, that in this respect, a lacuna </w:t>
      </w:r>
    </w:p>
    <w:p w:rsidR="00AB00CA" w:rsidRDefault="00AB00CA" w:rsidP="00AB00CA">
      <w:pPr>
        <w:pStyle w:val="NoSpacing"/>
        <w:spacing w:line="480" w:lineRule="auto"/>
        <w:jc w:val="right"/>
        <w:rPr>
          <w:rFonts w:ascii="Bookman Old Style" w:hAnsi="Bookman Old Style"/>
          <w:sz w:val="28"/>
          <w:szCs w:val="28"/>
        </w:rPr>
      </w:pPr>
      <w:r>
        <w:rPr>
          <w:rFonts w:ascii="Bookman Old Style" w:hAnsi="Bookman Old Style"/>
          <w:sz w:val="28"/>
          <w:szCs w:val="28"/>
        </w:rPr>
        <w:lastRenderedPageBreak/>
        <w:t>17</w:t>
      </w:r>
    </w:p>
    <w:p w:rsidR="00E52EDE" w:rsidRDefault="00A841F4" w:rsidP="003E5F8A">
      <w:pPr>
        <w:pStyle w:val="NoSpacing"/>
        <w:spacing w:line="480" w:lineRule="auto"/>
        <w:jc w:val="both"/>
        <w:rPr>
          <w:rFonts w:ascii="Bookman Old Style" w:hAnsi="Bookman Old Style"/>
          <w:sz w:val="28"/>
          <w:szCs w:val="28"/>
        </w:rPr>
      </w:pPr>
      <w:r>
        <w:rPr>
          <w:rFonts w:ascii="Bookman Old Style" w:hAnsi="Bookman Old Style"/>
          <w:sz w:val="28"/>
          <w:szCs w:val="28"/>
        </w:rPr>
        <w:t>does exist and there is therefore</w:t>
      </w:r>
      <w:r w:rsidR="00AB00CA">
        <w:rPr>
          <w:rFonts w:ascii="Bookman Old Style" w:hAnsi="Bookman Old Style"/>
          <w:sz w:val="28"/>
          <w:szCs w:val="28"/>
        </w:rPr>
        <w:t>,</w:t>
      </w:r>
      <w:r>
        <w:rPr>
          <w:rFonts w:ascii="Bookman Old Style" w:hAnsi="Bookman Old Style"/>
          <w:sz w:val="28"/>
          <w:szCs w:val="28"/>
        </w:rPr>
        <w:t xml:space="preserve"> a need to draw a parallel between the laws of England and those of Zambia.</w:t>
      </w:r>
    </w:p>
    <w:p w:rsidR="00A841F4" w:rsidRDefault="00A841F4" w:rsidP="003E5F8A">
      <w:pPr>
        <w:pStyle w:val="NoSpacing"/>
        <w:spacing w:line="480" w:lineRule="auto"/>
        <w:jc w:val="both"/>
        <w:rPr>
          <w:rFonts w:ascii="Bookman Old Style" w:hAnsi="Bookman Old Style"/>
          <w:b/>
          <w:i/>
          <w:sz w:val="28"/>
          <w:szCs w:val="28"/>
        </w:rPr>
      </w:pPr>
      <w:r>
        <w:rPr>
          <w:rFonts w:ascii="Bookman Old Style" w:hAnsi="Bookman Old Style"/>
          <w:sz w:val="28"/>
          <w:szCs w:val="28"/>
        </w:rPr>
        <w:tab/>
        <w:t xml:space="preserve">We agree with the position propounded by </w:t>
      </w:r>
      <w:r w:rsidRPr="00A24B22">
        <w:rPr>
          <w:rFonts w:ascii="Bookman Old Style" w:hAnsi="Bookman Old Style"/>
          <w:b/>
          <w:sz w:val="28"/>
          <w:szCs w:val="28"/>
        </w:rPr>
        <w:t>LIGHTMAN + MOSS</w:t>
      </w:r>
      <w:r>
        <w:rPr>
          <w:rFonts w:ascii="Bookman Old Style" w:hAnsi="Bookman Old Style"/>
          <w:sz w:val="28"/>
          <w:szCs w:val="28"/>
        </w:rPr>
        <w:t xml:space="preserve">, in their book </w:t>
      </w:r>
      <w:r w:rsidRPr="00A841F4">
        <w:rPr>
          <w:rFonts w:ascii="Bookman Old Style" w:hAnsi="Bookman Old Style"/>
          <w:b/>
          <w:sz w:val="28"/>
          <w:szCs w:val="28"/>
        </w:rPr>
        <w:t>THE OF RECEIVERS OF COMPANIES</w:t>
      </w:r>
      <w:r>
        <w:rPr>
          <w:rFonts w:ascii="Bookman Old Style" w:hAnsi="Bookman Old Style"/>
          <w:b/>
          <w:sz w:val="28"/>
          <w:szCs w:val="28"/>
        </w:rPr>
        <w:t>²</w:t>
      </w:r>
      <w:r>
        <w:rPr>
          <w:rFonts w:ascii="Bookman Old Style" w:hAnsi="Bookman Old Style"/>
          <w:sz w:val="28"/>
          <w:szCs w:val="28"/>
        </w:rPr>
        <w:t xml:space="preserve"> that during the receivership of a company in liquidation, the </w:t>
      </w:r>
      <w:r w:rsidR="00A24B22">
        <w:rPr>
          <w:rFonts w:ascii="Bookman Old Style" w:hAnsi="Bookman Old Style"/>
          <w:sz w:val="28"/>
          <w:szCs w:val="28"/>
        </w:rPr>
        <w:t>receiver’s</w:t>
      </w:r>
      <w:r>
        <w:rPr>
          <w:rFonts w:ascii="Bookman Old Style" w:hAnsi="Bookman Old Style"/>
          <w:sz w:val="28"/>
          <w:szCs w:val="28"/>
        </w:rPr>
        <w:t xml:space="preserve"> administration takes precedence and a liquidator takes a secondary role regardless as to whether the receiver was appointed before or after the commencement of the winding up.  The rationale for this is found in the words of </w:t>
      </w:r>
      <w:r w:rsidRPr="00A841F4">
        <w:rPr>
          <w:rFonts w:ascii="Bookman Old Style" w:hAnsi="Bookman Old Style"/>
          <w:b/>
          <w:sz w:val="28"/>
          <w:szCs w:val="28"/>
        </w:rPr>
        <w:t>HUBERT PICADA</w:t>
      </w:r>
      <w:r>
        <w:rPr>
          <w:rFonts w:ascii="Bookman Old Style" w:hAnsi="Bookman Old Style"/>
          <w:b/>
          <w:sz w:val="28"/>
          <w:szCs w:val="28"/>
        </w:rPr>
        <w:t>³</w:t>
      </w:r>
      <w:r>
        <w:rPr>
          <w:rFonts w:ascii="Bookman Old Style" w:hAnsi="Bookman Old Style"/>
          <w:sz w:val="28"/>
          <w:szCs w:val="28"/>
        </w:rPr>
        <w:t xml:space="preserve">, that </w:t>
      </w:r>
      <w:r>
        <w:rPr>
          <w:rFonts w:ascii="Bookman Old Style" w:hAnsi="Bookman Old Style"/>
          <w:b/>
          <w:i/>
          <w:sz w:val="28"/>
          <w:szCs w:val="28"/>
        </w:rPr>
        <w:t>“…..the right to appoint a receiver is virtually absolute:  the debenture holders as secured creditors stand outside the liquidation.”</w:t>
      </w:r>
    </w:p>
    <w:p w:rsidR="0003637B" w:rsidRDefault="00A24B22" w:rsidP="003E5F8A">
      <w:pPr>
        <w:pStyle w:val="NoSpacing"/>
        <w:spacing w:line="480" w:lineRule="auto"/>
        <w:jc w:val="both"/>
        <w:rPr>
          <w:rFonts w:ascii="Bookman Old Style" w:hAnsi="Bookman Old Style"/>
          <w:sz w:val="28"/>
          <w:szCs w:val="28"/>
        </w:rPr>
      </w:pPr>
      <w:r>
        <w:rPr>
          <w:rFonts w:ascii="Bookman Old Style" w:hAnsi="Bookman Old Style"/>
          <w:sz w:val="28"/>
          <w:szCs w:val="28"/>
        </w:rPr>
        <w:tab/>
        <w:t xml:space="preserve">In this case, it is not in dispute that the Bank was a secured creditor.  It appointed a receiver under a legal instrument to recover money loaned to the Appellant; there was a floating charge on the Appellant’s </w:t>
      </w:r>
      <w:r>
        <w:rPr>
          <w:rFonts w:ascii="Bookman Old Style" w:hAnsi="Bookman Old Style"/>
          <w:b/>
          <w:i/>
          <w:sz w:val="28"/>
          <w:szCs w:val="28"/>
        </w:rPr>
        <w:t>“….undertaking and all its property whatsoever and wheresoever both present and future…”</w:t>
      </w:r>
      <w:r>
        <w:rPr>
          <w:rFonts w:ascii="Bookman Old Style" w:hAnsi="Bookman Old Style"/>
          <w:sz w:val="28"/>
          <w:szCs w:val="28"/>
        </w:rPr>
        <w:t xml:space="preserve">  The charge crystallized on all the property of the Appellant when the Bank sought to enforce the security through the appointment of the receiver.  The receiver therefore</w:t>
      </w:r>
      <w:r w:rsidR="006B72D9">
        <w:rPr>
          <w:rFonts w:ascii="Bookman Old Style" w:hAnsi="Bookman Old Style"/>
          <w:sz w:val="28"/>
          <w:szCs w:val="28"/>
        </w:rPr>
        <w:t>,</w:t>
      </w:r>
      <w:r>
        <w:rPr>
          <w:rFonts w:ascii="Bookman Old Style" w:hAnsi="Bookman Old Style"/>
          <w:sz w:val="28"/>
          <w:szCs w:val="28"/>
        </w:rPr>
        <w:t xml:space="preserve"> should have had custody and </w:t>
      </w:r>
    </w:p>
    <w:p w:rsidR="0003637B" w:rsidRDefault="0003637B" w:rsidP="0003637B">
      <w:pPr>
        <w:pStyle w:val="NoSpacing"/>
        <w:spacing w:line="480" w:lineRule="auto"/>
        <w:jc w:val="right"/>
        <w:rPr>
          <w:rFonts w:ascii="Bookman Old Style" w:hAnsi="Bookman Old Style"/>
          <w:sz w:val="28"/>
          <w:szCs w:val="28"/>
        </w:rPr>
      </w:pPr>
      <w:r>
        <w:rPr>
          <w:rFonts w:ascii="Bookman Old Style" w:hAnsi="Bookman Old Style"/>
          <w:sz w:val="28"/>
          <w:szCs w:val="28"/>
        </w:rPr>
        <w:lastRenderedPageBreak/>
        <w:t>18</w:t>
      </w:r>
    </w:p>
    <w:p w:rsidR="00827D1C" w:rsidRDefault="00A24B22" w:rsidP="003E5F8A">
      <w:pPr>
        <w:pStyle w:val="NoSpacing"/>
        <w:spacing w:line="480" w:lineRule="auto"/>
        <w:jc w:val="both"/>
        <w:rPr>
          <w:rFonts w:ascii="Bookman Old Style" w:hAnsi="Bookman Old Style"/>
          <w:sz w:val="28"/>
          <w:szCs w:val="28"/>
        </w:rPr>
      </w:pPr>
      <w:r>
        <w:rPr>
          <w:rFonts w:ascii="Bookman Old Style" w:hAnsi="Bookman Old Style"/>
          <w:sz w:val="28"/>
          <w:szCs w:val="28"/>
        </w:rPr>
        <w:t>control of all the pro</w:t>
      </w:r>
      <w:r w:rsidR="002501D6">
        <w:rPr>
          <w:rFonts w:ascii="Bookman Old Style" w:hAnsi="Bookman Old Style"/>
          <w:sz w:val="28"/>
          <w:szCs w:val="28"/>
        </w:rPr>
        <w:t>perty comprised in t</w:t>
      </w:r>
      <w:r w:rsidR="005F3C72">
        <w:rPr>
          <w:rFonts w:ascii="Bookman Old Style" w:hAnsi="Bookman Old Style"/>
          <w:sz w:val="28"/>
          <w:szCs w:val="28"/>
        </w:rPr>
        <w:t>he charge</w:t>
      </w:r>
      <w:r w:rsidR="002501D6">
        <w:rPr>
          <w:rFonts w:ascii="Bookman Old Style" w:hAnsi="Bookman Old Style"/>
          <w:sz w:val="28"/>
          <w:szCs w:val="28"/>
        </w:rPr>
        <w:t>.  It wa</w:t>
      </w:r>
      <w:r>
        <w:rPr>
          <w:rFonts w:ascii="Bookman Old Style" w:hAnsi="Bookman Old Style"/>
          <w:sz w:val="28"/>
          <w:szCs w:val="28"/>
        </w:rPr>
        <w:t>s therefore</w:t>
      </w:r>
      <w:r w:rsidR="006B72D9">
        <w:rPr>
          <w:rFonts w:ascii="Bookman Old Style" w:hAnsi="Bookman Old Style"/>
          <w:sz w:val="28"/>
          <w:szCs w:val="28"/>
        </w:rPr>
        <w:t>,</w:t>
      </w:r>
      <w:r>
        <w:rPr>
          <w:rFonts w:ascii="Bookman Old Style" w:hAnsi="Bookman Old Style"/>
          <w:sz w:val="28"/>
          <w:szCs w:val="28"/>
        </w:rPr>
        <w:t xml:space="preserve"> a misdirection on the part of the Court to have held that the control of assets of a liquidated company is in the hands of the liquidator and not the receiver.  The receiver is under a duty to perform his function and recover the money for his secured creditor.  If he has a surplus, it is surrendered to the liquidator.</w:t>
      </w:r>
      <w:r w:rsidR="002501D6">
        <w:rPr>
          <w:rFonts w:ascii="Bookman Old Style" w:hAnsi="Bookman Old Style"/>
          <w:sz w:val="28"/>
          <w:szCs w:val="28"/>
        </w:rPr>
        <w:t xml:space="preserve">  </w:t>
      </w:r>
      <w:r w:rsidR="005F3C72">
        <w:rPr>
          <w:rFonts w:ascii="Bookman Old Style" w:hAnsi="Bookman Old Style"/>
          <w:sz w:val="28"/>
          <w:szCs w:val="28"/>
        </w:rPr>
        <w:t xml:space="preserve"> Against this background</w:t>
      </w:r>
      <w:r w:rsidR="002501D6">
        <w:rPr>
          <w:rFonts w:ascii="Bookman Old Style" w:hAnsi="Bookman Old Style"/>
          <w:sz w:val="28"/>
          <w:szCs w:val="28"/>
        </w:rPr>
        <w:t>, we would have nevertheless allowed the appeal</w:t>
      </w:r>
      <w:r w:rsidR="005F3C72">
        <w:rPr>
          <w:rFonts w:ascii="Bookman Old Style" w:hAnsi="Bookman Old Style"/>
          <w:sz w:val="28"/>
          <w:szCs w:val="28"/>
        </w:rPr>
        <w:t xml:space="preserve"> h</w:t>
      </w:r>
      <w:r w:rsidR="00225EC5">
        <w:rPr>
          <w:rFonts w:ascii="Bookman Old Style" w:hAnsi="Bookman Old Style"/>
          <w:sz w:val="28"/>
          <w:szCs w:val="28"/>
        </w:rPr>
        <w:t>a</w:t>
      </w:r>
      <w:r w:rsidR="005F3C72">
        <w:rPr>
          <w:rFonts w:ascii="Bookman Old Style" w:hAnsi="Bookman Old Style"/>
          <w:sz w:val="28"/>
          <w:szCs w:val="28"/>
        </w:rPr>
        <w:t>d the grounds be</w:t>
      </w:r>
      <w:r w:rsidR="00225EC5">
        <w:rPr>
          <w:rFonts w:ascii="Bookman Old Style" w:hAnsi="Bookman Old Style"/>
          <w:sz w:val="28"/>
          <w:szCs w:val="28"/>
        </w:rPr>
        <w:t>e</w:t>
      </w:r>
      <w:r w:rsidR="005F3C72">
        <w:rPr>
          <w:rFonts w:ascii="Bookman Old Style" w:hAnsi="Bookman Old Style"/>
          <w:sz w:val="28"/>
          <w:szCs w:val="28"/>
        </w:rPr>
        <w:t>n contested</w:t>
      </w:r>
      <w:r w:rsidR="002501D6">
        <w:rPr>
          <w:rFonts w:ascii="Bookman Old Style" w:hAnsi="Bookman Old Style"/>
          <w:sz w:val="28"/>
          <w:szCs w:val="28"/>
        </w:rPr>
        <w:t>.</w:t>
      </w:r>
      <w:r w:rsidR="00827D1C">
        <w:rPr>
          <w:rFonts w:ascii="Bookman Old Style" w:hAnsi="Bookman Old Style"/>
          <w:sz w:val="28"/>
          <w:szCs w:val="28"/>
        </w:rPr>
        <w:t xml:space="preserve"> </w:t>
      </w:r>
    </w:p>
    <w:p w:rsidR="00A24B22" w:rsidRDefault="002501D6" w:rsidP="00827D1C">
      <w:pPr>
        <w:pStyle w:val="NoSpacing"/>
        <w:spacing w:line="480" w:lineRule="auto"/>
        <w:ind w:firstLine="720"/>
        <w:jc w:val="both"/>
        <w:rPr>
          <w:rFonts w:ascii="Bookman Old Style" w:hAnsi="Bookman Old Style"/>
          <w:sz w:val="28"/>
          <w:szCs w:val="28"/>
        </w:rPr>
      </w:pPr>
      <w:r>
        <w:rPr>
          <w:rFonts w:ascii="Bookman Old Style" w:hAnsi="Bookman Old Style"/>
          <w:sz w:val="28"/>
          <w:szCs w:val="28"/>
        </w:rPr>
        <w:t>On costs, we have found that t</w:t>
      </w:r>
      <w:r w:rsidR="00827D1C">
        <w:rPr>
          <w:rFonts w:ascii="Bookman Old Style" w:hAnsi="Bookman Old Style"/>
          <w:sz w:val="28"/>
          <w:szCs w:val="28"/>
        </w:rPr>
        <w:t xml:space="preserve">he documents in the supplementary record of appeal show that this matter could have been settled </w:t>
      </w:r>
      <w:r w:rsidR="00D93103">
        <w:rPr>
          <w:rFonts w:ascii="Bookman Old Style" w:hAnsi="Bookman Old Style"/>
          <w:sz w:val="28"/>
          <w:szCs w:val="28"/>
        </w:rPr>
        <w:t>by consent</w:t>
      </w:r>
      <w:r>
        <w:rPr>
          <w:rFonts w:ascii="Bookman Old Style" w:hAnsi="Bookman Old Style"/>
          <w:sz w:val="28"/>
          <w:szCs w:val="28"/>
        </w:rPr>
        <w:t xml:space="preserve"> </w:t>
      </w:r>
      <w:r w:rsidR="00827D1C">
        <w:rPr>
          <w:rFonts w:ascii="Bookman Old Style" w:hAnsi="Bookman Old Style"/>
          <w:sz w:val="28"/>
          <w:szCs w:val="28"/>
        </w:rPr>
        <w:t>way back in 2006 when the loan was repaid</w:t>
      </w:r>
      <w:r w:rsidR="00A24B22">
        <w:rPr>
          <w:rFonts w:ascii="Bookman Old Style" w:hAnsi="Bookman Old Style"/>
          <w:sz w:val="28"/>
          <w:szCs w:val="28"/>
        </w:rPr>
        <w:t xml:space="preserve"> </w:t>
      </w:r>
      <w:r>
        <w:rPr>
          <w:rFonts w:ascii="Bookman Old Style" w:hAnsi="Bookman Old Style"/>
          <w:sz w:val="28"/>
          <w:szCs w:val="28"/>
        </w:rPr>
        <w:t>and the security discharged.  By pursuing the appeal, t</w:t>
      </w:r>
      <w:r w:rsidR="00827D1C">
        <w:rPr>
          <w:rFonts w:ascii="Bookman Old Style" w:hAnsi="Bookman Old Style"/>
          <w:sz w:val="28"/>
          <w:szCs w:val="28"/>
        </w:rPr>
        <w:t>he Appellant was</w:t>
      </w:r>
      <w:r>
        <w:rPr>
          <w:rFonts w:ascii="Bookman Old Style" w:hAnsi="Bookman Old Style"/>
          <w:sz w:val="28"/>
          <w:szCs w:val="28"/>
        </w:rPr>
        <w:t xml:space="preserve"> therefore pushing an open door.   But as there were serious mis</w:t>
      </w:r>
      <w:r w:rsidR="00827D1C">
        <w:rPr>
          <w:rFonts w:ascii="Bookman Old Style" w:hAnsi="Bookman Old Style"/>
          <w:sz w:val="28"/>
          <w:szCs w:val="28"/>
        </w:rPr>
        <w:t>directions in the judgment of the lower Court</w:t>
      </w:r>
      <w:r w:rsidR="00D93103">
        <w:rPr>
          <w:rFonts w:ascii="Bookman Old Style" w:hAnsi="Bookman Old Style"/>
          <w:sz w:val="28"/>
          <w:szCs w:val="28"/>
        </w:rPr>
        <w:t>,</w:t>
      </w:r>
      <w:r w:rsidR="00827D1C">
        <w:rPr>
          <w:rFonts w:ascii="Bookman Old Style" w:hAnsi="Bookman Old Style"/>
          <w:sz w:val="28"/>
          <w:szCs w:val="28"/>
        </w:rPr>
        <w:t xml:space="preserve"> which could only </w:t>
      </w:r>
      <w:r>
        <w:rPr>
          <w:rFonts w:ascii="Bookman Old Style" w:hAnsi="Bookman Old Style"/>
          <w:sz w:val="28"/>
          <w:szCs w:val="28"/>
        </w:rPr>
        <w:t>be corrected through a</w:t>
      </w:r>
      <w:r w:rsidR="00827D1C">
        <w:rPr>
          <w:rFonts w:ascii="Bookman Old Style" w:hAnsi="Bookman Old Style"/>
          <w:sz w:val="28"/>
          <w:szCs w:val="28"/>
        </w:rPr>
        <w:t xml:space="preserve"> hearing of the appeal</w:t>
      </w:r>
      <w:r>
        <w:rPr>
          <w:rFonts w:ascii="Bookman Old Style" w:hAnsi="Bookman Old Style"/>
          <w:sz w:val="28"/>
          <w:szCs w:val="28"/>
        </w:rPr>
        <w:t xml:space="preserve"> in this Court</w:t>
      </w:r>
      <w:r w:rsidR="00827D1C">
        <w:rPr>
          <w:rFonts w:ascii="Bookman Old Style" w:hAnsi="Bookman Old Style"/>
          <w:sz w:val="28"/>
          <w:szCs w:val="28"/>
        </w:rPr>
        <w:t>, we grant the Appellant fifty per centum (50%) of the costs.</w:t>
      </w:r>
    </w:p>
    <w:p w:rsidR="00E23F29" w:rsidRDefault="00E23F29" w:rsidP="00E46BF8">
      <w:pPr>
        <w:pStyle w:val="NoSpacing"/>
        <w:spacing w:line="480" w:lineRule="auto"/>
        <w:jc w:val="both"/>
        <w:rPr>
          <w:rFonts w:ascii="Bookman Old Style" w:hAnsi="Bookman Old Style"/>
          <w:sz w:val="28"/>
          <w:szCs w:val="28"/>
        </w:rPr>
      </w:pPr>
    </w:p>
    <w:p w:rsidR="00E46BF8" w:rsidRDefault="00E46BF8" w:rsidP="00E46BF8">
      <w:pPr>
        <w:pStyle w:val="NoSpacing"/>
        <w:jc w:val="center"/>
        <w:rPr>
          <w:rFonts w:ascii="Bookman Old Style" w:hAnsi="Bookman Old Style"/>
          <w:sz w:val="28"/>
          <w:szCs w:val="28"/>
        </w:rPr>
      </w:pPr>
      <w:r>
        <w:rPr>
          <w:rFonts w:ascii="Bookman Old Style" w:hAnsi="Bookman Old Style"/>
          <w:sz w:val="28"/>
          <w:szCs w:val="28"/>
        </w:rPr>
        <w:t>I.C. Mambilima</w:t>
      </w:r>
    </w:p>
    <w:p w:rsidR="00E46BF8" w:rsidRPr="00E23F29" w:rsidRDefault="00E46BF8" w:rsidP="00E46BF8">
      <w:pPr>
        <w:pStyle w:val="NoSpacing"/>
        <w:jc w:val="center"/>
        <w:rPr>
          <w:rFonts w:ascii="Bookman Old Style" w:hAnsi="Bookman Old Style"/>
          <w:sz w:val="28"/>
          <w:szCs w:val="28"/>
          <w:u w:val="single"/>
        </w:rPr>
      </w:pPr>
      <w:r w:rsidRPr="00E23F29">
        <w:rPr>
          <w:rFonts w:ascii="Bookman Old Style" w:hAnsi="Bookman Old Style"/>
          <w:sz w:val="28"/>
          <w:szCs w:val="28"/>
          <w:u w:val="single"/>
        </w:rPr>
        <w:t>DEPUTY CHIEF JUSTICE</w:t>
      </w:r>
    </w:p>
    <w:p w:rsidR="00A24B22" w:rsidRDefault="00A24B22" w:rsidP="003E5F8A">
      <w:pPr>
        <w:pStyle w:val="NoSpacing"/>
        <w:spacing w:line="480" w:lineRule="auto"/>
        <w:jc w:val="both"/>
        <w:rPr>
          <w:rFonts w:ascii="Bookman Old Style" w:hAnsi="Bookman Old Style"/>
          <w:sz w:val="28"/>
          <w:szCs w:val="28"/>
        </w:rPr>
      </w:pPr>
    </w:p>
    <w:p w:rsidR="00E23F29" w:rsidRDefault="00E23F29" w:rsidP="003E5F8A">
      <w:pPr>
        <w:pStyle w:val="NoSpacing"/>
        <w:spacing w:line="480" w:lineRule="auto"/>
        <w:jc w:val="both"/>
        <w:rPr>
          <w:rFonts w:ascii="Bookman Old Style" w:hAnsi="Bookman Old Style"/>
          <w:sz w:val="28"/>
          <w:szCs w:val="28"/>
        </w:rPr>
      </w:pPr>
    </w:p>
    <w:p w:rsidR="00E23F29" w:rsidRDefault="00E23F29" w:rsidP="003E5F8A">
      <w:pPr>
        <w:pStyle w:val="NoSpacing"/>
        <w:spacing w:line="480" w:lineRule="auto"/>
        <w:jc w:val="both"/>
        <w:rPr>
          <w:rFonts w:ascii="Bookman Old Style" w:hAnsi="Bookman Old Style"/>
          <w:sz w:val="28"/>
          <w:szCs w:val="28"/>
        </w:rPr>
      </w:pPr>
    </w:p>
    <w:p w:rsidR="00E23F29" w:rsidRDefault="00E23F29" w:rsidP="003E5F8A">
      <w:pPr>
        <w:pStyle w:val="NoSpacing"/>
        <w:spacing w:line="480" w:lineRule="auto"/>
        <w:jc w:val="both"/>
        <w:rPr>
          <w:rFonts w:ascii="Bookman Old Style" w:hAnsi="Bookman Old Style"/>
          <w:sz w:val="28"/>
          <w:szCs w:val="28"/>
        </w:rPr>
      </w:pPr>
    </w:p>
    <w:p w:rsidR="00E23F29" w:rsidRDefault="00E23F29" w:rsidP="003E5F8A">
      <w:pPr>
        <w:pStyle w:val="NoSpacing"/>
        <w:spacing w:line="480" w:lineRule="auto"/>
        <w:jc w:val="both"/>
        <w:rPr>
          <w:rFonts w:ascii="Bookman Old Style" w:hAnsi="Bookman Old Style"/>
          <w:sz w:val="28"/>
          <w:szCs w:val="28"/>
        </w:rPr>
      </w:pPr>
    </w:p>
    <w:p w:rsidR="00E23F29" w:rsidRDefault="00E23F29" w:rsidP="003E5F8A">
      <w:pPr>
        <w:pStyle w:val="NoSpacing"/>
        <w:spacing w:line="480" w:lineRule="auto"/>
        <w:jc w:val="both"/>
        <w:rPr>
          <w:rFonts w:ascii="Bookman Old Style" w:hAnsi="Bookman Old Style"/>
          <w:sz w:val="28"/>
          <w:szCs w:val="28"/>
        </w:rPr>
      </w:pPr>
    </w:p>
    <w:p w:rsidR="00E23F29" w:rsidRDefault="00E23F29" w:rsidP="00E23F29">
      <w:pPr>
        <w:pStyle w:val="NoSpacing"/>
        <w:jc w:val="center"/>
        <w:rPr>
          <w:rFonts w:ascii="Bookman Old Style" w:hAnsi="Bookman Old Style"/>
          <w:sz w:val="28"/>
          <w:szCs w:val="28"/>
        </w:rPr>
      </w:pPr>
      <w:r>
        <w:rPr>
          <w:rFonts w:ascii="Bookman Old Style" w:hAnsi="Bookman Old Style"/>
          <w:sz w:val="28"/>
          <w:szCs w:val="28"/>
        </w:rPr>
        <w:t>H. Chibomba</w:t>
      </w:r>
    </w:p>
    <w:p w:rsidR="00E23F29" w:rsidRPr="00E23F29" w:rsidRDefault="00E23F29" w:rsidP="00E23F29">
      <w:pPr>
        <w:pStyle w:val="NoSpacing"/>
        <w:jc w:val="center"/>
        <w:rPr>
          <w:rFonts w:ascii="Bookman Old Style" w:hAnsi="Bookman Old Style"/>
          <w:sz w:val="28"/>
          <w:szCs w:val="28"/>
          <w:u w:val="single"/>
        </w:rPr>
      </w:pPr>
      <w:r w:rsidRPr="00E23F29">
        <w:rPr>
          <w:rFonts w:ascii="Bookman Old Style" w:hAnsi="Bookman Old Style"/>
          <w:sz w:val="28"/>
          <w:szCs w:val="28"/>
          <w:u w:val="single"/>
        </w:rPr>
        <w:t>SUPREME COURT JUDGE</w:t>
      </w:r>
    </w:p>
    <w:p w:rsidR="00E23F29" w:rsidRPr="00E23F29" w:rsidRDefault="00E23F29" w:rsidP="00E23F29">
      <w:pPr>
        <w:pStyle w:val="NoSpacing"/>
        <w:spacing w:line="480" w:lineRule="auto"/>
        <w:jc w:val="center"/>
        <w:rPr>
          <w:rFonts w:ascii="Bookman Old Style" w:hAnsi="Bookman Old Style"/>
          <w:sz w:val="28"/>
          <w:szCs w:val="28"/>
          <w:u w:val="single"/>
        </w:rPr>
      </w:pPr>
    </w:p>
    <w:p w:rsidR="00E23F29" w:rsidRDefault="00E23F29" w:rsidP="00E23F29">
      <w:pPr>
        <w:pStyle w:val="NoSpacing"/>
        <w:spacing w:line="480" w:lineRule="auto"/>
        <w:jc w:val="center"/>
        <w:rPr>
          <w:rFonts w:ascii="Bookman Old Style" w:hAnsi="Bookman Old Style"/>
          <w:sz w:val="28"/>
          <w:szCs w:val="28"/>
        </w:rPr>
      </w:pPr>
    </w:p>
    <w:p w:rsidR="00E23F29" w:rsidRDefault="00E23F29" w:rsidP="00E23F29">
      <w:pPr>
        <w:pStyle w:val="NoSpacing"/>
        <w:spacing w:line="480" w:lineRule="auto"/>
        <w:jc w:val="center"/>
        <w:rPr>
          <w:rFonts w:ascii="Bookman Old Style" w:hAnsi="Bookman Old Style"/>
          <w:sz w:val="28"/>
          <w:szCs w:val="28"/>
        </w:rPr>
      </w:pPr>
    </w:p>
    <w:p w:rsidR="00E23F29" w:rsidRDefault="00E23F29" w:rsidP="00E23F29">
      <w:pPr>
        <w:pStyle w:val="NoSpacing"/>
        <w:spacing w:line="480" w:lineRule="auto"/>
        <w:jc w:val="center"/>
        <w:rPr>
          <w:rFonts w:ascii="Bookman Old Style" w:hAnsi="Bookman Old Style"/>
          <w:sz w:val="28"/>
          <w:szCs w:val="28"/>
        </w:rPr>
      </w:pPr>
    </w:p>
    <w:p w:rsidR="00E23F29" w:rsidRDefault="00E23F29" w:rsidP="00E23F29">
      <w:pPr>
        <w:pStyle w:val="NoSpacing"/>
        <w:jc w:val="center"/>
        <w:rPr>
          <w:rFonts w:ascii="Bookman Old Style" w:hAnsi="Bookman Old Style"/>
          <w:sz w:val="28"/>
          <w:szCs w:val="28"/>
        </w:rPr>
      </w:pPr>
      <w:r>
        <w:rPr>
          <w:rFonts w:ascii="Bookman Old Style" w:hAnsi="Bookman Old Style"/>
          <w:sz w:val="28"/>
          <w:szCs w:val="28"/>
        </w:rPr>
        <w:t>M.E. Wanki</w:t>
      </w:r>
    </w:p>
    <w:p w:rsidR="00E23F29" w:rsidRPr="00E23F29" w:rsidRDefault="00E23F29" w:rsidP="00E23F29">
      <w:pPr>
        <w:pStyle w:val="NoSpacing"/>
        <w:jc w:val="center"/>
        <w:rPr>
          <w:rFonts w:ascii="Bookman Old Style" w:hAnsi="Bookman Old Style"/>
          <w:sz w:val="28"/>
          <w:szCs w:val="28"/>
          <w:u w:val="single"/>
        </w:rPr>
      </w:pPr>
      <w:r w:rsidRPr="00E23F29">
        <w:rPr>
          <w:rFonts w:ascii="Bookman Old Style" w:hAnsi="Bookman Old Style"/>
          <w:sz w:val="28"/>
          <w:szCs w:val="28"/>
          <w:u w:val="single"/>
        </w:rPr>
        <w:t>SUPREME COURT JUDGE</w:t>
      </w:r>
    </w:p>
    <w:p w:rsidR="009E5D77" w:rsidRPr="00A443D4" w:rsidRDefault="009E5D77" w:rsidP="00A443D4">
      <w:pPr>
        <w:pStyle w:val="NoSpacing"/>
        <w:spacing w:line="480" w:lineRule="auto"/>
        <w:jc w:val="both"/>
        <w:rPr>
          <w:rFonts w:ascii="Bookman Old Style" w:hAnsi="Bookman Old Style"/>
          <w:sz w:val="28"/>
          <w:szCs w:val="28"/>
        </w:rPr>
      </w:pPr>
    </w:p>
    <w:p w:rsidR="00C739A1" w:rsidRPr="009F3F28" w:rsidRDefault="00C739A1" w:rsidP="00C22139">
      <w:pPr>
        <w:pStyle w:val="NoSpacing"/>
        <w:jc w:val="both"/>
        <w:rPr>
          <w:rFonts w:ascii="Bookman Old Style" w:hAnsi="Bookman Old Style"/>
        </w:rPr>
      </w:pPr>
    </w:p>
    <w:sectPr w:rsidR="00C739A1" w:rsidRPr="009F3F28" w:rsidSect="00C739A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4A0" w:rsidRDefault="001A04A0" w:rsidP="009567D8">
      <w:pPr>
        <w:spacing w:after="0" w:line="240" w:lineRule="auto"/>
      </w:pPr>
      <w:r>
        <w:separator/>
      </w:r>
    </w:p>
  </w:endnote>
  <w:endnote w:type="continuationSeparator" w:id="1">
    <w:p w:rsidR="001A04A0" w:rsidRDefault="001A04A0" w:rsidP="009567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68438"/>
      <w:docPartObj>
        <w:docPartGallery w:val="Page Numbers (Bottom of Page)"/>
        <w:docPartUnique/>
      </w:docPartObj>
    </w:sdtPr>
    <w:sdtContent>
      <w:p w:rsidR="00A00E71" w:rsidRDefault="00E33E15">
        <w:pPr>
          <w:pStyle w:val="Footer"/>
          <w:jc w:val="right"/>
        </w:pPr>
        <w:fldSimple w:instr=" PAGE   \* MERGEFORMAT ">
          <w:r w:rsidR="002B7302">
            <w:rPr>
              <w:noProof/>
            </w:rPr>
            <w:t>1</w:t>
          </w:r>
        </w:fldSimple>
      </w:p>
    </w:sdtContent>
  </w:sdt>
  <w:p w:rsidR="00A00E71" w:rsidRDefault="00A00E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4A0" w:rsidRDefault="001A04A0" w:rsidP="009567D8">
      <w:pPr>
        <w:spacing w:after="0" w:line="240" w:lineRule="auto"/>
      </w:pPr>
      <w:r>
        <w:separator/>
      </w:r>
    </w:p>
  </w:footnote>
  <w:footnote w:type="continuationSeparator" w:id="1">
    <w:p w:rsidR="001A04A0" w:rsidRDefault="001A04A0" w:rsidP="009567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54BA9"/>
    <w:multiLevelType w:val="hybridMultilevel"/>
    <w:tmpl w:val="68202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A03776"/>
    <w:multiLevelType w:val="hybridMultilevel"/>
    <w:tmpl w:val="96302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8C2D9C"/>
    <w:multiLevelType w:val="hybridMultilevel"/>
    <w:tmpl w:val="E488F3C0"/>
    <w:lvl w:ilvl="0" w:tplc="0409000F">
      <w:start w:val="1"/>
      <w:numFmt w:val="decimal"/>
      <w:lvlText w:val="%1."/>
      <w:lvlJc w:val="left"/>
      <w:pPr>
        <w:ind w:left="28140" w:hanging="360"/>
      </w:pPr>
    </w:lvl>
    <w:lvl w:ilvl="1" w:tplc="04090019" w:tentative="1">
      <w:start w:val="1"/>
      <w:numFmt w:val="lowerLetter"/>
      <w:lvlText w:val="%2."/>
      <w:lvlJc w:val="left"/>
      <w:pPr>
        <w:ind w:left="28860" w:hanging="360"/>
      </w:pPr>
    </w:lvl>
    <w:lvl w:ilvl="2" w:tplc="0409001B" w:tentative="1">
      <w:start w:val="1"/>
      <w:numFmt w:val="lowerRoman"/>
      <w:lvlText w:val="%3."/>
      <w:lvlJc w:val="right"/>
      <w:pPr>
        <w:ind w:left="29580" w:hanging="180"/>
      </w:pPr>
    </w:lvl>
    <w:lvl w:ilvl="3" w:tplc="0409000F" w:tentative="1">
      <w:start w:val="1"/>
      <w:numFmt w:val="decimal"/>
      <w:lvlText w:val="%4."/>
      <w:lvlJc w:val="left"/>
      <w:pPr>
        <w:ind w:left="30300" w:hanging="360"/>
      </w:pPr>
    </w:lvl>
    <w:lvl w:ilvl="4" w:tplc="04090019" w:tentative="1">
      <w:start w:val="1"/>
      <w:numFmt w:val="lowerLetter"/>
      <w:lvlText w:val="%5."/>
      <w:lvlJc w:val="left"/>
      <w:pPr>
        <w:ind w:left="31020" w:hanging="360"/>
      </w:pPr>
    </w:lvl>
    <w:lvl w:ilvl="5" w:tplc="0409001B" w:tentative="1">
      <w:start w:val="1"/>
      <w:numFmt w:val="lowerRoman"/>
      <w:lvlText w:val="%6."/>
      <w:lvlJc w:val="right"/>
      <w:pPr>
        <w:ind w:left="31740" w:hanging="180"/>
      </w:pPr>
    </w:lvl>
    <w:lvl w:ilvl="6" w:tplc="0409000F" w:tentative="1">
      <w:start w:val="1"/>
      <w:numFmt w:val="decimal"/>
      <w:lvlText w:val="%7."/>
      <w:lvlJc w:val="left"/>
      <w:pPr>
        <w:ind w:left="32460" w:hanging="360"/>
      </w:pPr>
    </w:lvl>
    <w:lvl w:ilvl="7" w:tplc="04090019" w:tentative="1">
      <w:start w:val="1"/>
      <w:numFmt w:val="lowerLetter"/>
      <w:lvlText w:val="%8."/>
      <w:lvlJc w:val="left"/>
      <w:pPr>
        <w:ind w:left="-32356" w:hanging="360"/>
      </w:pPr>
    </w:lvl>
    <w:lvl w:ilvl="8" w:tplc="0409001B">
      <w:start w:val="1"/>
      <w:numFmt w:val="lowerRoman"/>
      <w:lvlText w:val="%9."/>
      <w:lvlJc w:val="right"/>
      <w:pPr>
        <w:ind w:left="-31636" w:hanging="180"/>
      </w:pPr>
    </w:lvl>
  </w:abstractNum>
  <w:abstractNum w:abstractNumId="3">
    <w:nsid w:val="7142427B"/>
    <w:multiLevelType w:val="hybridMultilevel"/>
    <w:tmpl w:val="5DA63C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725BD1"/>
    <w:rsid w:val="000151DC"/>
    <w:rsid w:val="00017085"/>
    <w:rsid w:val="00017F31"/>
    <w:rsid w:val="0003637B"/>
    <w:rsid w:val="00040AA6"/>
    <w:rsid w:val="0006138C"/>
    <w:rsid w:val="00084821"/>
    <w:rsid w:val="000A3E09"/>
    <w:rsid w:val="000B1F24"/>
    <w:rsid w:val="000B6958"/>
    <w:rsid w:val="001153A9"/>
    <w:rsid w:val="00131CEC"/>
    <w:rsid w:val="00162556"/>
    <w:rsid w:val="00162B98"/>
    <w:rsid w:val="001717D0"/>
    <w:rsid w:val="00183E05"/>
    <w:rsid w:val="001A04A0"/>
    <w:rsid w:val="001A19EC"/>
    <w:rsid w:val="001E58AB"/>
    <w:rsid w:val="00203C84"/>
    <w:rsid w:val="00204348"/>
    <w:rsid w:val="00225EC5"/>
    <w:rsid w:val="00227BEB"/>
    <w:rsid w:val="00233DFE"/>
    <w:rsid w:val="002501D6"/>
    <w:rsid w:val="00256080"/>
    <w:rsid w:val="00256B13"/>
    <w:rsid w:val="00277135"/>
    <w:rsid w:val="00282453"/>
    <w:rsid w:val="002A3543"/>
    <w:rsid w:val="002B7302"/>
    <w:rsid w:val="002C03F9"/>
    <w:rsid w:val="002C0913"/>
    <w:rsid w:val="002C7EBB"/>
    <w:rsid w:val="003036D7"/>
    <w:rsid w:val="003142A9"/>
    <w:rsid w:val="00366456"/>
    <w:rsid w:val="003846DE"/>
    <w:rsid w:val="00396AB0"/>
    <w:rsid w:val="003C42E6"/>
    <w:rsid w:val="003E1D03"/>
    <w:rsid w:val="003E54A6"/>
    <w:rsid w:val="003E5F8A"/>
    <w:rsid w:val="004200D3"/>
    <w:rsid w:val="00426C05"/>
    <w:rsid w:val="00441C6D"/>
    <w:rsid w:val="00464185"/>
    <w:rsid w:val="004753A3"/>
    <w:rsid w:val="004A792A"/>
    <w:rsid w:val="004D549F"/>
    <w:rsid w:val="004D70B5"/>
    <w:rsid w:val="0051482B"/>
    <w:rsid w:val="005245F1"/>
    <w:rsid w:val="00524736"/>
    <w:rsid w:val="00546BA5"/>
    <w:rsid w:val="00557510"/>
    <w:rsid w:val="0057760D"/>
    <w:rsid w:val="00580A90"/>
    <w:rsid w:val="00596E71"/>
    <w:rsid w:val="005B596C"/>
    <w:rsid w:val="005C3026"/>
    <w:rsid w:val="005F3C72"/>
    <w:rsid w:val="005F6B1D"/>
    <w:rsid w:val="00630069"/>
    <w:rsid w:val="00631741"/>
    <w:rsid w:val="0063261E"/>
    <w:rsid w:val="00636C30"/>
    <w:rsid w:val="006639A9"/>
    <w:rsid w:val="00690339"/>
    <w:rsid w:val="006B53E7"/>
    <w:rsid w:val="006B72D9"/>
    <w:rsid w:val="006E12BE"/>
    <w:rsid w:val="006F78F9"/>
    <w:rsid w:val="00706F64"/>
    <w:rsid w:val="00724377"/>
    <w:rsid w:val="00725BD1"/>
    <w:rsid w:val="00735540"/>
    <w:rsid w:val="007440EF"/>
    <w:rsid w:val="00753442"/>
    <w:rsid w:val="0078122D"/>
    <w:rsid w:val="00784BF6"/>
    <w:rsid w:val="007854F7"/>
    <w:rsid w:val="0079345A"/>
    <w:rsid w:val="00796271"/>
    <w:rsid w:val="007B6DAB"/>
    <w:rsid w:val="007C4392"/>
    <w:rsid w:val="007D2589"/>
    <w:rsid w:val="007E111B"/>
    <w:rsid w:val="00827D1C"/>
    <w:rsid w:val="0089674F"/>
    <w:rsid w:val="008B4C9E"/>
    <w:rsid w:val="008C704B"/>
    <w:rsid w:val="008D22A7"/>
    <w:rsid w:val="008E3B56"/>
    <w:rsid w:val="00943BD1"/>
    <w:rsid w:val="009460AA"/>
    <w:rsid w:val="00946DE5"/>
    <w:rsid w:val="009567D8"/>
    <w:rsid w:val="009661DD"/>
    <w:rsid w:val="00973454"/>
    <w:rsid w:val="00975052"/>
    <w:rsid w:val="00977F86"/>
    <w:rsid w:val="00990496"/>
    <w:rsid w:val="009A600D"/>
    <w:rsid w:val="009B77E7"/>
    <w:rsid w:val="009E4051"/>
    <w:rsid w:val="009E5D77"/>
    <w:rsid w:val="009F3F28"/>
    <w:rsid w:val="00A00E71"/>
    <w:rsid w:val="00A0680F"/>
    <w:rsid w:val="00A24B22"/>
    <w:rsid w:val="00A443D4"/>
    <w:rsid w:val="00A50F15"/>
    <w:rsid w:val="00A56ED7"/>
    <w:rsid w:val="00A71C25"/>
    <w:rsid w:val="00A841F4"/>
    <w:rsid w:val="00AB00CA"/>
    <w:rsid w:val="00AC180E"/>
    <w:rsid w:val="00B100C5"/>
    <w:rsid w:val="00B10F41"/>
    <w:rsid w:val="00B140C4"/>
    <w:rsid w:val="00B51790"/>
    <w:rsid w:val="00B664BC"/>
    <w:rsid w:val="00BB3640"/>
    <w:rsid w:val="00BD4AB6"/>
    <w:rsid w:val="00BD7748"/>
    <w:rsid w:val="00BE62ED"/>
    <w:rsid w:val="00BF115B"/>
    <w:rsid w:val="00BF3110"/>
    <w:rsid w:val="00BF5595"/>
    <w:rsid w:val="00C22139"/>
    <w:rsid w:val="00C24EF8"/>
    <w:rsid w:val="00C3744E"/>
    <w:rsid w:val="00C404EB"/>
    <w:rsid w:val="00C739A1"/>
    <w:rsid w:val="00CA0C67"/>
    <w:rsid w:val="00CA561D"/>
    <w:rsid w:val="00CB4375"/>
    <w:rsid w:val="00CB4D96"/>
    <w:rsid w:val="00CD0496"/>
    <w:rsid w:val="00CF41B8"/>
    <w:rsid w:val="00CF4BD7"/>
    <w:rsid w:val="00D12E27"/>
    <w:rsid w:val="00D353F5"/>
    <w:rsid w:val="00D451DA"/>
    <w:rsid w:val="00D60A11"/>
    <w:rsid w:val="00D6265B"/>
    <w:rsid w:val="00D67E31"/>
    <w:rsid w:val="00D732A0"/>
    <w:rsid w:val="00D878B2"/>
    <w:rsid w:val="00D93103"/>
    <w:rsid w:val="00DD6231"/>
    <w:rsid w:val="00DE19AF"/>
    <w:rsid w:val="00DF6218"/>
    <w:rsid w:val="00E1060C"/>
    <w:rsid w:val="00E1153B"/>
    <w:rsid w:val="00E23F29"/>
    <w:rsid w:val="00E33E15"/>
    <w:rsid w:val="00E34ACD"/>
    <w:rsid w:val="00E46BF8"/>
    <w:rsid w:val="00E52EDE"/>
    <w:rsid w:val="00E57013"/>
    <w:rsid w:val="00E8186F"/>
    <w:rsid w:val="00E92CFF"/>
    <w:rsid w:val="00E95312"/>
    <w:rsid w:val="00EA1990"/>
    <w:rsid w:val="00EA21F6"/>
    <w:rsid w:val="00F22544"/>
    <w:rsid w:val="00F40A3C"/>
    <w:rsid w:val="00F4106E"/>
    <w:rsid w:val="00F54599"/>
    <w:rsid w:val="00FA1A86"/>
    <w:rsid w:val="00FA45A7"/>
    <w:rsid w:val="00FB1D43"/>
    <w:rsid w:val="00FB6DD2"/>
    <w:rsid w:val="00FD5C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9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3F28"/>
    <w:pPr>
      <w:spacing w:after="0" w:line="240" w:lineRule="auto"/>
    </w:pPr>
  </w:style>
  <w:style w:type="paragraph" w:styleId="Header">
    <w:name w:val="header"/>
    <w:basedOn w:val="Normal"/>
    <w:link w:val="HeaderChar"/>
    <w:uiPriority w:val="99"/>
    <w:semiHidden/>
    <w:unhideWhenUsed/>
    <w:rsid w:val="009567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67D8"/>
  </w:style>
  <w:style w:type="paragraph" w:styleId="Footer">
    <w:name w:val="footer"/>
    <w:basedOn w:val="Normal"/>
    <w:link w:val="FooterChar"/>
    <w:uiPriority w:val="99"/>
    <w:unhideWhenUsed/>
    <w:rsid w:val="009567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7D8"/>
  </w:style>
  <w:style w:type="paragraph" w:styleId="ListParagraph">
    <w:name w:val="List Paragraph"/>
    <w:basedOn w:val="Normal"/>
    <w:uiPriority w:val="34"/>
    <w:qFormat/>
    <w:rsid w:val="0063006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3653</Words>
  <Characters>20823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Rachel.Kachamba</dc:creator>
  <cp:lastModifiedBy>alice.nakaponda</cp:lastModifiedBy>
  <cp:revision>2</cp:revision>
  <cp:lastPrinted>2013-01-10T13:20:00Z</cp:lastPrinted>
  <dcterms:created xsi:type="dcterms:W3CDTF">2013-02-14T08:13:00Z</dcterms:created>
  <dcterms:modified xsi:type="dcterms:W3CDTF">2013-02-14T08:13:00Z</dcterms:modified>
</cp:coreProperties>
</file>