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0" w:rsidRPr="00D20C15" w:rsidRDefault="00927A80" w:rsidP="00927A80">
      <w:pPr>
        <w:pStyle w:val="NoSpacing"/>
        <w:rPr>
          <w:rFonts w:ascii="Century Gothic" w:hAnsi="Century Gothic"/>
          <w:b/>
          <w:sz w:val="26"/>
          <w:szCs w:val="24"/>
        </w:rPr>
      </w:pPr>
      <w:r w:rsidRPr="00D20C15">
        <w:rPr>
          <w:rFonts w:ascii="Century Gothic" w:hAnsi="Century Gothic"/>
          <w:b/>
          <w:sz w:val="26"/>
          <w:szCs w:val="24"/>
        </w:rPr>
        <w:t>IN THE HIGH COURT FOR ZAMBIA</w:t>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t>2012/HP/1521</w:t>
      </w:r>
    </w:p>
    <w:p w:rsidR="00927A80" w:rsidRPr="00D20C15" w:rsidRDefault="00927A80" w:rsidP="00927A80">
      <w:pPr>
        <w:pStyle w:val="NoSpacing"/>
        <w:rPr>
          <w:rFonts w:ascii="Century Gothic" w:hAnsi="Century Gothic"/>
          <w:b/>
          <w:sz w:val="26"/>
          <w:szCs w:val="24"/>
        </w:rPr>
      </w:pPr>
      <w:r w:rsidRPr="00D20C15">
        <w:rPr>
          <w:rFonts w:ascii="Century Gothic" w:hAnsi="Century Gothic"/>
          <w:b/>
          <w:sz w:val="26"/>
          <w:szCs w:val="24"/>
        </w:rPr>
        <w:t>AT THE PRINCIPAL REGISTRY</w:t>
      </w:r>
    </w:p>
    <w:p w:rsidR="00927A80" w:rsidRPr="00D20C15" w:rsidRDefault="00927A80" w:rsidP="00927A80">
      <w:pPr>
        <w:pStyle w:val="NoSpacing"/>
        <w:rPr>
          <w:rFonts w:ascii="Century Gothic" w:hAnsi="Century Gothic"/>
          <w:b/>
          <w:sz w:val="26"/>
          <w:szCs w:val="24"/>
        </w:rPr>
      </w:pPr>
      <w:r w:rsidRPr="00D20C15">
        <w:rPr>
          <w:rFonts w:ascii="Century Gothic" w:hAnsi="Century Gothic"/>
          <w:b/>
          <w:sz w:val="26"/>
          <w:szCs w:val="24"/>
        </w:rPr>
        <w:t xml:space="preserve">HOLDEN AT LUSAKA </w:t>
      </w:r>
    </w:p>
    <w:p w:rsidR="00927A80" w:rsidRPr="00D20C15" w:rsidRDefault="00927A80" w:rsidP="00927A80">
      <w:pPr>
        <w:pStyle w:val="NoSpacing"/>
        <w:rPr>
          <w:rFonts w:ascii="Century Gothic" w:hAnsi="Century Gothic"/>
          <w:b/>
          <w:sz w:val="26"/>
          <w:szCs w:val="24"/>
        </w:rPr>
      </w:pPr>
    </w:p>
    <w:p w:rsidR="00927A80" w:rsidRPr="00D20C15" w:rsidRDefault="00927A80" w:rsidP="00927A80">
      <w:pPr>
        <w:pStyle w:val="NoSpacing"/>
        <w:rPr>
          <w:rFonts w:ascii="Century Gothic" w:hAnsi="Century Gothic"/>
          <w:sz w:val="26"/>
          <w:szCs w:val="24"/>
        </w:rPr>
      </w:pPr>
      <w:r w:rsidRPr="00D20C15">
        <w:rPr>
          <w:rFonts w:ascii="Century Gothic" w:hAnsi="Century Gothic"/>
          <w:sz w:val="26"/>
          <w:szCs w:val="24"/>
        </w:rPr>
        <w:t>(Civil Jurisdiction)</w:t>
      </w:r>
    </w:p>
    <w:p w:rsidR="00927A80" w:rsidRPr="00D20C15" w:rsidRDefault="00927A80" w:rsidP="00927A80">
      <w:pPr>
        <w:pStyle w:val="NoSpacing"/>
        <w:rPr>
          <w:rFonts w:ascii="Century Gothic" w:hAnsi="Century Gothic"/>
          <w:b/>
          <w:sz w:val="26"/>
          <w:szCs w:val="24"/>
        </w:rPr>
      </w:pPr>
    </w:p>
    <w:p w:rsidR="00927A80" w:rsidRPr="00D20C15" w:rsidRDefault="001C02B4" w:rsidP="00927A80">
      <w:pPr>
        <w:pStyle w:val="NoSpacing"/>
        <w:rPr>
          <w:rFonts w:ascii="Century Gothic" w:hAnsi="Century Gothic"/>
          <w:b/>
          <w:sz w:val="26"/>
          <w:szCs w:val="24"/>
        </w:rPr>
      </w:pPr>
      <w:r w:rsidRPr="00D20C15">
        <w:rPr>
          <w:rFonts w:ascii="Century Gothic" w:hAnsi="Century Gothic"/>
          <w:b/>
          <w:sz w:val="26"/>
          <w:szCs w:val="24"/>
        </w:rPr>
        <w:t>BETWEEN:</w:t>
      </w:r>
    </w:p>
    <w:p w:rsidR="00927A80" w:rsidRPr="00D20C15" w:rsidRDefault="00927A80" w:rsidP="00927A80">
      <w:pPr>
        <w:pStyle w:val="NoSpacing"/>
        <w:rPr>
          <w:rFonts w:ascii="Century Gothic" w:hAnsi="Century Gothic"/>
          <w:b/>
          <w:sz w:val="26"/>
          <w:szCs w:val="24"/>
        </w:rPr>
      </w:pPr>
    </w:p>
    <w:p w:rsidR="00927A80" w:rsidRPr="00D20C15" w:rsidRDefault="001C02B4" w:rsidP="00706627">
      <w:pPr>
        <w:pStyle w:val="NoSpacing"/>
        <w:spacing w:line="276" w:lineRule="auto"/>
        <w:rPr>
          <w:rFonts w:ascii="Century Gothic" w:hAnsi="Century Gothic"/>
          <w:b/>
          <w:sz w:val="26"/>
          <w:szCs w:val="24"/>
        </w:rPr>
      </w:pPr>
      <w:r w:rsidRPr="00D20C15">
        <w:rPr>
          <w:rFonts w:ascii="Century Gothic" w:hAnsi="Century Gothic"/>
          <w:b/>
          <w:sz w:val="26"/>
          <w:szCs w:val="24"/>
        </w:rPr>
        <w:t>SYDNEY CHIBWE</w:t>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t>1</w:t>
      </w:r>
      <w:r w:rsidRPr="00D20C15">
        <w:rPr>
          <w:rFonts w:ascii="Century Gothic" w:hAnsi="Century Gothic"/>
          <w:b/>
          <w:sz w:val="26"/>
          <w:szCs w:val="24"/>
          <w:vertAlign w:val="superscript"/>
        </w:rPr>
        <w:t>ST</w:t>
      </w:r>
      <w:r w:rsidRPr="00D20C15">
        <w:rPr>
          <w:rFonts w:ascii="Century Gothic" w:hAnsi="Century Gothic"/>
          <w:b/>
          <w:sz w:val="26"/>
          <w:szCs w:val="24"/>
        </w:rPr>
        <w:t xml:space="preserve"> APPLICANT </w:t>
      </w:r>
    </w:p>
    <w:p w:rsidR="00927A80" w:rsidRPr="00D20C15" w:rsidRDefault="001C02B4" w:rsidP="00706627">
      <w:pPr>
        <w:pStyle w:val="NoSpacing"/>
        <w:spacing w:line="276" w:lineRule="auto"/>
        <w:rPr>
          <w:rFonts w:ascii="Century Gothic" w:hAnsi="Century Gothic"/>
          <w:b/>
          <w:sz w:val="26"/>
          <w:szCs w:val="24"/>
        </w:rPr>
      </w:pPr>
      <w:r w:rsidRPr="00D20C15">
        <w:rPr>
          <w:rFonts w:ascii="Century Gothic" w:hAnsi="Century Gothic"/>
          <w:b/>
          <w:sz w:val="26"/>
          <w:szCs w:val="24"/>
        </w:rPr>
        <w:t>MOFYA GLADYS CHIBWE</w:t>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t>2</w:t>
      </w:r>
      <w:r w:rsidRPr="00D20C15">
        <w:rPr>
          <w:rFonts w:ascii="Century Gothic" w:hAnsi="Century Gothic"/>
          <w:b/>
          <w:sz w:val="26"/>
          <w:szCs w:val="24"/>
          <w:vertAlign w:val="superscript"/>
        </w:rPr>
        <w:t>ND</w:t>
      </w:r>
      <w:r w:rsidRPr="00D20C15">
        <w:rPr>
          <w:rFonts w:ascii="Century Gothic" w:hAnsi="Century Gothic"/>
          <w:b/>
          <w:sz w:val="26"/>
          <w:szCs w:val="24"/>
        </w:rPr>
        <w:t xml:space="preserve"> APPLICANT </w:t>
      </w:r>
    </w:p>
    <w:p w:rsidR="00927A80" w:rsidRPr="00D20C15" w:rsidRDefault="001C02B4" w:rsidP="00706627">
      <w:pPr>
        <w:pStyle w:val="NoSpacing"/>
        <w:spacing w:line="276" w:lineRule="auto"/>
        <w:rPr>
          <w:rFonts w:ascii="Century Gothic" w:hAnsi="Century Gothic"/>
          <w:b/>
          <w:sz w:val="26"/>
          <w:szCs w:val="24"/>
        </w:rPr>
      </w:pPr>
      <w:r w:rsidRPr="00D20C15">
        <w:rPr>
          <w:rFonts w:ascii="Century Gothic" w:hAnsi="Century Gothic"/>
          <w:b/>
          <w:sz w:val="26"/>
          <w:szCs w:val="24"/>
        </w:rPr>
        <w:t>CHRISTOPHER CHIBWE</w:t>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t>3</w:t>
      </w:r>
      <w:r w:rsidRPr="00D20C15">
        <w:rPr>
          <w:rFonts w:ascii="Century Gothic" w:hAnsi="Century Gothic"/>
          <w:b/>
          <w:sz w:val="26"/>
          <w:szCs w:val="24"/>
          <w:vertAlign w:val="superscript"/>
        </w:rPr>
        <w:t>RD</w:t>
      </w:r>
      <w:r w:rsidRPr="00D20C15">
        <w:rPr>
          <w:rFonts w:ascii="Century Gothic" w:hAnsi="Century Gothic"/>
          <w:b/>
          <w:sz w:val="26"/>
          <w:szCs w:val="24"/>
        </w:rPr>
        <w:t xml:space="preserve"> APPLICANT </w:t>
      </w:r>
    </w:p>
    <w:p w:rsidR="00927A80" w:rsidRPr="00D20C15" w:rsidRDefault="001C02B4" w:rsidP="00706627">
      <w:pPr>
        <w:pStyle w:val="NoSpacing"/>
        <w:spacing w:line="276" w:lineRule="auto"/>
        <w:rPr>
          <w:rFonts w:ascii="Century Gothic" w:hAnsi="Century Gothic"/>
          <w:b/>
          <w:sz w:val="26"/>
          <w:szCs w:val="24"/>
        </w:rPr>
      </w:pPr>
      <w:r w:rsidRPr="00D20C15">
        <w:rPr>
          <w:rFonts w:ascii="Century Gothic" w:hAnsi="Century Gothic"/>
          <w:b/>
          <w:sz w:val="26"/>
          <w:szCs w:val="24"/>
        </w:rPr>
        <w:t>COLLINS CHIBWE</w:t>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t>4</w:t>
      </w:r>
      <w:r w:rsidRPr="00D20C15">
        <w:rPr>
          <w:rFonts w:ascii="Century Gothic" w:hAnsi="Century Gothic"/>
          <w:b/>
          <w:sz w:val="26"/>
          <w:szCs w:val="24"/>
          <w:vertAlign w:val="superscript"/>
        </w:rPr>
        <w:t>TH</w:t>
      </w:r>
      <w:r w:rsidRPr="00D20C15">
        <w:rPr>
          <w:rFonts w:ascii="Century Gothic" w:hAnsi="Century Gothic"/>
          <w:b/>
          <w:sz w:val="26"/>
          <w:szCs w:val="24"/>
        </w:rPr>
        <w:t xml:space="preserve"> APPLICANT </w:t>
      </w:r>
    </w:p>
    <w:p w:rsidR="00927A80" w:rsidRPr="00D20C15" w:rsidRDefault="001C02B4" w:rsidP="00706627">
      <w:pPr>
        <w:pStyle w:val="NoSpacing"/>
        <w:spacing w:line="276" w:lineRule="auto"/>
        <w:rPr>
          <w:rFonts w:ascii="Century Gothic" w:hAnsi="Century Gothic"/>
          <w:b/>
          <w:sz w:val="26"/>
          <w:szCs w:val="24"/>
        </w:rPr>
      </w:pPr>
      <w:r w:rsidRPr="00D20C15">
        <w:rPr>
          <w:rFonts w:ascii="Century Gothic" w:hAnsi="Century Gothic"/>
          <w:b/>
          <w:sz w:val="26"/>
          <w:szCs w:val="24"/>
        </w:rPr>
        <w:t>MWAPE CHIBWE</w:t>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t>5</w:t>
      </w:r>
      <w:r w:rsidRPr="00D20C15">
        <w:rPr>
          <w:rFonts w:ascii="Century Gothic" w:hAnsi="Century Gothic"/>
          <w:b/>
          <w:sz w:val="26"/>
          <w:szCs w:val="24"/>
          <w:vertAlign w:val="superscript"/>
        </w:rPr>
        <w:t>TH</w:t>
      </w:r>
      <w:r w:rsidRPr="00D20C15">
        <w:rPr>
          <w:rFonts w:ascii="Century Gothic" w:hAnsi="Century Gothic"/>
          <w:b/>
          <w:sz w:val="26"/>
          <w:szCs w:val="24"/>
        </w:rPr>
        <w:t xml:space="preserve"> APPLICANT </w:t>
      </w:r>
    </w:p>
    <w:p w:rsidR="00927A80" w:rsidRPr="00D20C15" w:rsidRDefault="00927A80" w:rsidP="00706627">
      <w:pPr>
        <w:pStyle w:val="NoSpacing"/>
        <w:spacing w:line="276" w:lineRule="auto"/>
        <w:rPr>
          <w:rFonts w:ascii="Century Gothic" w:hAnsi="Century Gothic"/>
          <w:b/>
          <w:sz w:val="26"/>
          <w:szCs w:val="24"/>
        </w:rPr>
      </w:pPr>
    </w:p>
    <w:p w:rsidR="00927A80" w:rsidRPr="00D20C15" w:rsidRDefault="001C02B4" w:rsidP="00706627">
      <w:pPr>
        <w:pStyle w:val="NoSpacing"/>
        <w:spacing w:line="276" w:lineRule="auto"/>
        <w:rPr>
          <w:rFonts w:ascii="Century Gothic" w:hAnsi="Century Gothic"/>
          <w:b/>
          <w:sz w:val="26"/>
          <w:szCs w:val="24"/>
        </w:rPr>
      </w:pPr>
      <w:r w:rsidRPr="00D20C15">
        <w:rPr>
          <w:rFonts w:ascii="Century Gothic" w:hAnsi="Century Gothic"/>
          <w:b/>
          <w:sz w:val="26"/>
          <w:szCs w:val="24"/>
        </w:rPr>
        <w:t xml:space="preserve">AND </w:t>
      </w:r>
    </w:p>
    <w:p w:rsidR="00927A80" w:rsidRPr="00D20C15" w:rsidRDefault="00927A80" w:rsidP="00706627">
      <w:pPr>
        <w:pStyle w:val="NoSpacing"/>
        <w:spacing w:line="276" w:lineRule="auto"/>
        <w:rPr>
          <w:rFonts w:ascii="Century Gothic" w:hAnsi="Century Gothic"/>
          <w:b/>
          <w:sz w:val="26"/>
          <w:szCs w:val="24"/>
        </w:rPr>
      </w:pPr>
    </w:p>
    <w:p w:rsidR="00927A80" w:rsidRPr="00D20C15" w:rsidRDefault="001C02B4" w:rsidP="00706627">
      <w:pPr>
        <w:pStyle w:val="NoSpacing"/>
        <w:spacing w:line="276" w:lineRule="auto"/>
        <w:rPr>
          <w:rFonts w:ascii="Century Gothic" w:hAnsi="Century Gothic"/>
          <w:b/>
          <w:sz w:val="26"/>
          <w:szCs w:val="24"/>
        </w:rPr>
      </w:pPr>
      <w:r w:rsidRPr="00D20C15">
        <w:rPr>
          <w:rFonts w:ascii="Century Gothic" w:hAnsi="Century Gothic"/>
          <w:b/>
          <w:sz w:val="26"/>
          <w:szCs w:val="24"/>
        </w:rPr>
        <w:t>GIFT MUSHINGE CHAPA</w:t>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t>1</w:t>
      </w:r>
      <w:r w:rsidRPr="00D20C15">
        <w:rPr>
          <w:rFonts w:ascii="Century Gothic" w:hAnsi="Century Gothic"/>
          <w:b/>
          <w:sz w:val="26"/>
          <w:szCs w:val="24"/>
          <w:vertAlign w:val="superscript"/>
        </w:rPr>
        <w:t>ST</w:t>
      </w:r>
      <w:r w:rsidRPr="00D20C15">
        <w:rPr>
          <w:rFonts w:ascii="Century Gothic" w:hAnsi="Century Gothic"/>
          <w:b/>
          <w:sz w:val="26"/>
          <w:szCs w:val="24"/>
        </w:rPr>
        <w:t xml:space="preserve"> RESPONDENT </w:t>
      </w:r>
    </w:p>
    <w:p w:rsidR="00927A80" w:rsidRPr="00D20C15" w:rsidRDefault="001C02B4" w:rsidP="00706627">
      <w:pPr>
        <w:pStyle w:val="NoSpacing"/>
        <w:spacing w:line="276" w:lineRule="auto"/>
        <w:rPr>
          <w:rFonts w:ascii="Century Gothic" w:hAnsi="Century Gothic"/>
          <w:b/>
          <w:sz w:val="26"/>
          <w:szCs w:val="24"/>
        </w:rPr>
      </w:pPr>
      <w:r w:rsidRPr="00D20C15">
        <w:rPr>
          <w:rFonts w:ascii="Century Gothic" w:hAnsi="Century Gothic"/>
          <w:b/>
          <w:sz w:val="26"/>
          <w:szCs w:val="24"/>
        </w:rPr>
        <w:t>CHUNGU CHIBWE</w:t>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t>2</w:t>
      </w:r>
      <w:r w:rsidRPr="00D20C15">
        <w:rPr>
          <w:rFonts w:ascii="Century Gothic" w:hAnsi="Century Gothic"/>
          <w:b/>
          <w:sz w:val="26"/>
          <w:szCs w:val="24"/>
          <w:vertAlign w:val="superscript"/>
        </w:rPr>
        <w:t>ND</w:t>
      </w:r>
      <w:r w:rsidRPr="00D20C15">
        <w:rPr>
          <w:rFonts w:ascii="Century Gothic" w:hAnsi="Century Gothic"/>
          <w:b/>
          <w:sz w:val="26"/>
          <w:szCs w:val="24"/>
        </w:rPr>
        <w:t xml:space="preserve"> RESPONDENT  </w:t>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r>
      <w:r w:rsidRPr="00D20C15">
        <w:rPr>
          <w:rFonts w:ascii="Century Gothic" w:hAnsi="Century Gothic"/>
          <w:b/>
          <w:sz w:val="26"/>
          <w:szCs w:val="24"/>
        </w:rPr>
        <w:tab/>
        <w:t xml:space="preserve"> </w:t>
      </w:r>
    </w:p>
    <w:p w:rsidR="00927A80" w:rsidRPr="00D20C15" w:rsidRDefault="00927A80" w:rsidP="00927A80">
      <w:pPr>
        <w:pStyle w:val="NoSpacing"/>
        <w:rPr>
          <w:rFonts w:ascii="Century Gothic" w:hAnsi="Century Gothic"/>
          <w:b/>
          <w:sz w:val="26"/>
          <w:szCs w:val="24"/>
        </w:rPr>
      </w:pPr>
    </w:p>
    <w:p w:rsidR="00927A80" w:rsidRPr="00D20C15" w:rsidRDefault="00927A80" w:rsidP="00927A80">
      <w:pPr>
        <w:pStyle w:val="NoSpacing"/>
        <w:rPr>
          <w:rFonts w:ascii="Century Gothic" w:hAnsi="Century Gothic"/>
          <w:b/>
          <w:sz w:val="26"/>
          <w:szCs w:val="24"/>
        </w:rPr>
      </w:pPr>
      <w:r w:rsidRPr="00D20C15">
        <w:rPr>
          <w:rFonts w:ascii="Century Gothic" w:hAnsi="Century Gothic"/>
          <w:b/>
          <w:sz w:val="26"/>
          <w:szCs w:val="24"/>
        </w:rPr>
        <w:t xml:space="preserve">Before Hon. Mrs. Justice M.S. Mulenga this </w:t>
      </w:r>
      <w:r w:rsidR="00683A3E">
        <w:rPr>
          <w:rFonts w:ascii="Century Gothic" w:hAnsi="Century Gothic"/>
          <w:b/>
          <w:sz w:val="26"/>
          <w:szCs w:val="24"/>
        </w:rPr>
        <w:t xml:space="preserve"> 28</w:t>
      </w:r>
      <w:r w:rsidR="00683A3E" w:rsidRPr="00683A3E">
        <w:rPr>
          <w:rFonts w:ascii="Century Gothic" w:hAnsi="Century Gothic"/>
          <w:b/>
          <w:sz w:val="26"/>
          <w:szCs w:val="24"/>
          <w:vertAlign w:val="superscript"/>
        </w:rPr>
        <w:t>th</w:t>
      </w:r>
      <w:r w:rsidR="00683A3E">
        <w:rPr>
          <w:rFonts w:ascii="Century Gothic" w:hAnsi="Century Gothic"/>
          <w:b/>
          <w:sz w:val="26"/>
          <w:szCs w:val="24"/>
        </w:rPr>
        <w:t xml:space="preserve"> </w:t>
      </w:r>
      <w:r w:rsidRPr="00D20C15">
        <w:rPr>
          <w:rFonts w:ascii="Century Gothic" w:hAnsi="Century Gothic"/>
          <w:b/>
          <w:sz w:val="26"/>
          <w:szCs w:val="24"/>
        </w:rPr>
        <w:t xml:space="preserve">day of March, 2013. </w:t>
      </w:r>
    </w:p>
    <w:p w:rsidR="00927A80" w:rsidRPr="00D20C15" w:rsidRDefault="00927A80" w:rsidP="00927A80">
      <w:pPr>
        <w:pStyle w:val="NoSpacing"/>
        <w:rPr>
          <w:rFonts w:ascii="Century Gothic" w:hAnsi="Century Gothic"/>
          <w:b/>
          <w:sz w:val="26"/>
          <w:szCs w:val="24"/>
        </w:rPr>
      </w:pPr>
    </w:p>
    <w:p w:rsidR="00FD35A0" w:rsidRDefault="00927A80" w:rsidP="00FD35A0">
      <w:pPr>
        <w:pStyle w:val="NoSpacing"/>
        <w:spacing w:line="276" w:lineRule="auto"/>
        <w:rPr>
          <w:rFonts w:ascii="Century Gothic" w:hAnsi="Century Gothic"/>
          <w:i/>
          <w:sz w:val="26"/>
          <w:szCs w:val="24"/>
        </w:rPr>
      </w:pPr>
      <w:r w:rsidRPr="00D20C15">
        <w:rPr>
          <w:rFonts w:ascii="Century Gothic" w:hAnsi="Century Gothic"/>
          <w:i/>
          <w:sz w:val="26"/>
          <w:szCs w:val="24"/>
        </w:rPr>
        <w:t xml:space="preserve">For the </w:t>
      </w:r>
      <w:r w:rsidR="001C02B4" w:rsidRPr="00D20C15">
        <w:rPr>
          <w:rFonts w:ascii="Century Gothic" w:hAnsi="Century Gothic"/>
          <w:i/>
          <w:sz w:val="26"/>
          <w:szCs w:val="24"/>
        </w:rPr>
        <w:t xml:space="preserve">Applicants </w:t>
      </w:r>
      <w:r w:rsidR="00FD35A0">
        <w:rPr>
          <w:rFonts w:ascii="Century Gothic" w:hAnsi="Century Gothic"/>
          <w:i/>
          <w:sz w:val="26"/>
          <w:szCs w:val="24"/>
        </w:rPr>
        <w:t xml:space="preserve">   </w:t>
      </w:r>
      <w:r w:rsidRPr="00D20C15">
        <w:rPr>
          <w:rFonts w:ascii="Century Gothic" w:hAnsi="Century Gothic"/>
          <w:i/>
          <w:sz w:val="26"/>
          <w:szCs w:val="24"/>
        </w:rPr>
        <w:t xml:space="preserve"> :    Mr.  </w:t>
      </w:r>
      <w:r w:rsidR="001C02B4" w:rsidRPr="00D20C15">
        <w:rPr>
          <w:rFonts w:ascii="Century Gothic" w:hAnsi="Century Gothic"/>
          <w:i/>
          <w:sz w:val="26"/>
          <w:szCs w:val="24"/>
        </w:rPr>
        <w:t xml:space="preserve">O Ngoma – Messrs Lungu Simwanza &amp; </w:t>
      </w:r>
    </w:p>
    <w:p w:rsidR="00927A80" w:rsidRPr="00D20C15" w:rsidRDefault="00FD35A0" w:rsidP="00FD35A0">
      <w:pPr>
        <w:pStyle w:val="NoSpacing"/>
        <w:spacing w:line="276" w:lineRule="auto"/>
        <w:ind w:left="2160" w:firstLine="720"/>
        <w:rPr>
          <w:rFonts w:ascii="Century Gothic" w:hAnsi="Century Gothic"/>
          <w:i/>
          <w:sz w:val="26"/>
          <w:szCs w:val="24"/>
        </w:rPr>
      </w:pPr>
      <w:r w:rsidRPr="00D20C15">
        <w:rPr>
          <w:rFonts w:ascii="Century Gothic" w:hAnsi="Century Gothic"/>
          <w:i/>
          <w:sz w:val="26"/>
          <w:szCs w:val="24"/>
        </w:rPr>
        <w:t>C</w:t>
      </w:r>
      <w:r w:rsidR="001C02B4" w:rsidRPr="00D20C15">
        <w:rPr>
          <w:rFonts w:ascii="Century Gothic" w:hAnsi="Century Gothic"/>
          <w:i/>
          <w:sz w:val="26"/>
          <w:szCs w:val="24"/>
        </w:rPr>
        <w:t xml:space="preserve">ompany </w:t>
      </w:r>
    </w:p>
    <w:p w:rsidR="00FD35A0" w:rsidRDefault="00927A80" w:rsidP="00FD35A0">
      <w:pPr>
        <w:pStyle w:val="NoSpacing"/>
        <w:spacing w:line="276" w:lineRule="auto"/>
        <w:rPr>
          <w:rFonts w:ascii="Century Gothic" w:hAnsi="Century Gothic"/>
          <w:i/>
          <w:sz w:val="26"/>
          <w:szCs w:val="24"/>
        </w:rPr>
      </w:pPr>
      <w:r w:rsidRPr="00D20C15">
        <w:rPr>
          <w:rFonts w:ascii="Century Gothic" w:hAnsi="Century Gothic"/>
          <w:i/>
          <w:sz w:val="26"/>
          <w:szCs w:val="24"/>
        </w:rPr>
        <w:t xml:space="preserve">For the </w:t>
      </w:r>
      <w:r w:rsidR="00FD35A0">
        <w:rPr>
          <w:rFonts w:ascii="Century Gothic" w:hAnsi="Century Gothic"/>
          <w:i/>
          <w:sz w:val="26"/>
          <w:szCs w:val="24"/>
        </w:rPr>
        <w:t>Respondents</w:t>
      </w:r>
      <w:r w:rsidRPr="00D20C15">
        <w:rPr>
          <w:rFonts w:ascii="Century Gothic" w:hAnsi="Century Gothic"/>
          <w:i/>
          <w:sz w:val="26"/>
          <w:szCs w:val="24"/>
        </w:rPr>
        <w:t xml:space="preserve"> :  Mr. D. </w:t>
      </w:r>
      <w:r w:rsidR="001C02B4" w:rsidRPr="00D20C15">
        <w:rPr>
          <w:rFonts w:ascii="Century Gothic" w:hAnsi="Century Gothic"/>
          <w:i/>
          <w:sz w:val="26"/>
          <w:szCs w:val="24"/>
        </w:rPr>
        <w:t xml:space="preserve">Mulenga </w:t>
      </w:r>
      <w:r w:rsidRPr="00D20C15">
        <w:rPr>
          <w:rFonts w:ascii="Century Gothic" w:hAnsi="Century Gothic"/>
          <w:i/>
          <w:sz w:val="26"/>
          <w:szCs w:val="24"/>
        </w:rPr>
        <w:t xml:space="preserve">  - Messrs </w:t>
      </w:r>
      <w:r w:rsidR="001C02B4" w:rsidRPr="00D20C15">
        <w:rPr>
          <w:rFonts w:ascii="Century Gothic" w:hAnsi="Century Gothic"/>
          <w:i/>
          <w:sz w:val="26"/>
          <w:szCs w:val="24"/>
        </w:rPr>
        <w:t>Derrick Mulenga</w:t>
      </w:r>
      <w:r w:rsidRPr="00D20C15">
        <w:rPr>
          <w:rFonts w:ascii="Century Gothic" w:hAnsi="Century Gothic"/>
          <w:i/>
          <w:sz w:val="26"/>
          <w:szCs w:val="24"/>
        </w:rPr>
        <w:t xml:space="preserve"> &amp; </w:t>
      </w:r>
    </w:p>
    <w:p w:rsidR="00927A80" w:rsidRPr="00D20C15" w:rsidRDefault="001C02B4" w:rsidP="00FD35A0">
      <w:pPr>
        <w:pStyle w:val="NoSpacing"/>
        <w:spacing w:line="276" w:lineRule="auto"/>
        <w:ind w:left="2160" w:firstLine="720"/>
        <w:rPr>
          <w:rFonts w:ascii="Century Gothic" w:hAnsi="Century Gothic"/>
          <w:i/>
          <w:sz w:val="26"/>
          <w:szCs w:val="24"/>
        </w:rPr>
      </w:pPr>
      <w:r w:rsidRPr="00D20C15">
        <w:rPr>
          <w:rFonts w:ascii="Century Gothic" w:hAnsi="Century Gothic"/>
          <w:i/>
          <w:sz w:val="26"/>
          <w:szCs w:val="24"/>
        </w:rPr>
        <w:t xml:space="preserve">Company </w:t>
      </w:r>
      <w:r w:rsidR="00927A80" w:rsidRPr="00D20C15">
        <w:rPr>
          <w:rFonts w:ascii="Century Gothic" w:hAnsi="Century Gothic"/>
          <w:i/>
          <w:sz w:val="26"/>
          <w:szCs w:val="24"/>
        </w:rPr>
        <w:t xml:space="preserve"> </w:t>
      </w:r>
    </w:p>
    <w:p w:rsidR="00927A80" w:rsidRPr="00D20C15" w:rsidRDefault="00927A80" w:rsidP="00927A80">
      <w:pPr>
        <w:pStyle w:val="NoSpacing"/>
        <w:rPr>
          <w:rFonts w:ascii="Century Gothic" w:hAnsi="Century Gothic"/>
          <w:b/>
          <w:sz w:val="26"/>
          <w:szCs w:val="24"/>
        </w:rPr>
      </w:pPr>
    </w:p>
    <w:p w:rsidR="00927A80" w:rsidRPr="00D20C15" w:rsidRDefault="00927A80" w:rsidP="00927A80">
      <w:pPr>
        <w:pStyle w:val="NoSpacing"/>
        <w:pBdr>
          <w:top w:val="single" w:sz="12" w:space="1" w:color="auto"/>
          <w:bottom w:val="single" w:sz="12" w:space="1" w:color="auto"/>
        </w:pBdr>
        <w:jc w:val="center"/>
        <w:rPr>
          <w:rFonts w:ascii="Century Gothic" w:hAnsi="Century Gothic"/>
          <w:b/>
          <w:sz w:val="26"/>
          <w:szCs w:val="24"/>
        </w:rPr>
      </w:pPr>
    </w:p>
    <w:p w:rsidR="00927A80" w:rsidRPr="0017522E" w:rsidRDefault="008245D8" w:rsidP="00927A80">
      <w:pPr>
        <w:pStyle w:val="NoSpacing"/>
        <w:pBdr>
          <w:top w:val="single" w:sz="12" w:space="1" w:color="auto"/>
          <w:bottom w:val="single" w:sz="12" w:space="1" w:color="auto"/>
        </w:pBdr>
        <w:jc w:val="center"/>
        <w:rPr>
          <w:rFonts w:ascii="Arial Black" w:hAnsi="Arial Black"/>
          <w:b/>
          <w:sz w:val="30"/>
          <w:szCs w:val="24"/>
        </w:rPr>
      </w:pPr>
      <w:r w:rsidRPr="0017522E">
        <w:rPr>
          <w:rFonts w:ascii="Arial Black" w:hAnsi="Arial Black"/>
          <w:b/>
          <w:sz w:val="30"/>
          <w:szCs w:val="24"/>
        </w:rPr>
        <w:t xml:space="preserve">R U L I N G </w:t>
      </w:r>
    </w:p>
    <w:p w:rsidR="00927A80" w:rsidRPr="00D20C15" w:rsidRDefault="00927A80" w:rsidP="00927A80">
      <w:pPr>
        <w:pStyle w:val="NoSpacing"/>
        <w:pBdr>
          <w:top w:val="single" w:sz="12" w:space="1" w:color="auto"/>
          <w:bottom w:val="single" w:sz="12" w:space="1" w:color="auto"/>
        </w:pBdr>
        <w:rPr>
          <w:rFonts w:ascii="Century Gothic" w:hAnsi="Century Gothic"/>
          <w:b/>
          <w:sz w:val="26"/>
          <w:szCs w:val="24"/>
        </w:rPr>
      </w:pPr>
    </w:p>
    <w:p w:rsidR="00927A80" w:rsidRDefault="00927A80" w:rsidP="00927A80">
      <w:pPr>
        <w:pStyle w:val="NoSpacing"/>
        <w:spacing w:line="360" w:lineRule="auto"/>
        <w:jc w:val="both"/>
        <w:rPr>
          <w:rFonts w:ascii="Century Gothic" w:hAnsi="Century Gothic"/>
          <w:sz w:val="26"/>
          <w:szCs w:val="24"/>
        </w:rPr>
      </w:pPr>
    </w:p>
    <w:p w:rsidR="008E34AB" w:rsidRPr="008E34AB" w:rsidRDefault="008E34AB" w:rsidP="00927A80">
      <w:pPr>
        <w:pStyle w:val="NoSpacing"/>
        <w:spacing w:line="360" w:lineRule="auto"/>
        <w:jc w:val="both"/>
        <w:rPr>
          <w:rFonts w:ascii="Century Gothic" w:hAnsi="Century Gothic"/>
          <w:b/>
          <w:sz w:val="26"/>
          <w:szCs w:val="24"/>
          <w:u w:val="single"/>
        </w:rPr>
      </w:pPr>
      <w:r w:rsidRPr="008E34AB">
        <w:rPr>
          <w:rFonts w:ascii="Century Gothic" w:hAnsi="Century Gothic"/>
          <w:b/>
          <w:sz w:val="26"/>
          <w:szCs w:val="24"/>
          <w:u w:val="single"/>
        </w:rPr>
        <w:t>CASES CITED:</w:t>
      </w:r>
    </w:p>
    <w:p w:rsidR="008E34AB" w:rsidRPr="008E34AB" w:rsidRDefault="008E34AB" w:rsidP="008E34AB">
      <w:pPr>
        <w:pStyle w:val="NoSpacing"/>
        <w:numPr>
          <w:ilvl w:val="0"/>
          <w:numId w:val="1"/>
        </w:numPr>
        <w:spacing w:line="276" w:lineRule="auto"/>
        <w:jc w:val="both"/>
        <w:rPr>
          <w:rFonts w:ascii="Century Gothic" w:hAnsi="Century Gothic"/>
          <w:sz w:val="20"/>
          <w:szCs w:val="24"/>
        </w:rPr>
      </w:pPr>
      <w:r w:rsidRPr="008E34AB">
        <w:rPr>
          <w:rFonts w:ascii="Century Gothic" w:hAnsi="Century Gothic"/>
          <w:b/>
          <w:i/>
          <w:sz w:val="20"/>
          <w:szCs w:val="24"/>
          <w:u w:val="single"/>
        </w:rPr>
        <w:t>Development Bank of Zambia and Another v Sunset and Another (1995-1997) ZR 187.</w:t>
      </w:r>
    </w:p>
    <w:p w:rsidR="008E34AB" w:rsidRPr="008E34AB" w:rsidRDefault="008E34AB" w:rsidP="008E34AB">
      <w:pPr>
        <w:pStyle w:val="NoSpacing"/>
        <w:numPr>
          <w:ilvl w:val="0"/>
          <w:numId w:val="1"/>
        </w:numPr>
        <w:spacing w:line="276" w:lineRule="auto"/>
        <w:jc w:val="both"/>
        <w:rPr>
          <w:rFonts w:ascii="Century Gothic" w:hAnsi="Century Gothic"/>
          <w:sz w:val="20"/>
          <w:szCs w:val="24"/>
        </w:rPr>
      </w:pPr>
      <w:r w:rsidRPr="008E34AB">
        <w:rPr>
          <w:rFonts w:ascii="Century Gothic" w:hAnsi="Century Gothic"/>
          <w:b/>
          <w:i/>
          <w:sz w:val="20"/>
          <w:szCs w:val="24"/>
          <w:u w:val="single"/>
        </w:rPr>
        <w:t>Afro Butcheries Limited v  Evans Limited (1987) ZR 39.</w:t>
      </w:r>
    </w:p>
    <w:p w:rsidR="008E34AB" w:rsidRPr="008E34AB" w:rsidRDefault="008E34AB" w:rsidP="008E34AB">
      <w:pPr>
        <w:pStyle w:val="NoSpacing"/>
        <w:numPr>
          <w:ilvl w:val="0"/>
          <w:numId w:val="1"/>
        </w:numPr>
        <w:spacing w:line="276" w:lineRule="auto"/>
        <w:jc w:val="both"/>
        <w:rPr>
          <w:rFonts w:ascii="Century Gothic" w:hAnsi="Century Gothic"/>
          <w:sz w:val="20"/>
          <w:szCs w:val="24"/>
        </w:rPr>
      </w:pPr>
      <w:r w:rsidRPr="008E34AB">
        <w:rPr>
          <w:rFonts w:ascii="Century Gothic" w:hAnsi="Century Gothic"/>
          <w:b/>
          <w:i/>
          <w:sz w:val="20"/>
          <w:szCs w:val="24"/>
          <w:u w:val="single"/>
        </w:rPr>
        <w:t>Jacks Stanely Thornicroft v Murray Evans and I</w:t>
      </w:r>
      <w:r w:rsidR="00992BDB">
        <w:rPr>
          <w:rFonts w:ascii="Century Gothic" w:hAnsi="Century Gothic"/>
          <w:b/>
          <w:i/>
          <w:sz w:val="20"/>
          <w:szCs w:val="24"/>
          <w:u w:val="single"/>
        </w:rPr>
        <w:t>v</w:t>
      </w:r>
      <w:r w:rsidRPr="008E34AB">
        <w:rPr>
          <w:rFonts w:ascii="Century Gothic" w:hAnsi="Century Gothic"/>
          <w:b/>
          <w:i/>
          <w:sz w:val="20"/>
          <w:szCs w:val="24"/>
          <w:u w:val="single"/>
        </w:rPr>
        <w:t xml:space="preserve">an </w:t>
      </w:r>
      <w:r w:rsidR="00992BDB">
        <w:rPr>
          <w:rFonts w:ascii="Century Gothic" w:hAnsi="Century Gothic"/>
          <w:b/>
          <w:i/>
          <w:sz w:val="20"/>
          <w:szCs w:val="24"/>
          <w:u w:val="single"/>
        </w:rPr>
        <w:t>Mc</w:t>
      </w:r>
      <w:r w:rsidRPr="008E34AB">
        <w:rPr>
          <w:rFonts w:ascii="Century Gothic" w:hAnsi="Century Gothic"/>
          <w:b/>
          <w:i/>
          <w:sz w:val="20"/>
          <w:szCs w:val="24"/>
          <w:u w:val="single"/>
        </w:rPr>
        <w:t>kilop (1985) ZR 172.</w:t>
      </w:r>
    </w:p>
    <w:p w:rsidR="008E34AB" w:rsidRPr="008E34AB" w:rsidRDefault="008E34AB" w:rsidP="008E34AB">
      <w:pPr>
        <w:pStyle w:val="NoSpacing"/>
        <w:numPr>
          <w:ilvl w:val="0"/>
          <w:numId w:val="1"/>
        </w:numPr>
        <w:spacing w:line="276" w:lineRule="auto"/>
        <w:jc w:val="both"/>
        <w:rPr>
          <w:rFonts w:ascii="Century Gothic" w:hAnsi="Century Gothic"/>
          <w:sz w:val="20"/>
          <w:szCs w:val="24"/>
        </w:rPr>
      </w:pPr>
      <w:r w:rsidRPr="008E34AB">
        <w:rPr>
          <w:rFonts w:ascii="Century Gothic" w:hAnsi="Century Gothic"/>
          <w:b/>
          <w:i/>
          <w:sz w:val="20"/>
          <w:szCs w:val="24"/>
          <w:u w:val="single"/>
        </w:rPr>
        <w:t>Kabwe Transport Limited v Press Transport (1984) ZR 51 (SC).</w:t>
      </w:r>
    </w:p>
    <w:p w:rsidR="008E34AB" w:rsidRPr="008E34AB" w:rsidRDefault="008E34AB" w:rsidP="008E34AB">
      <w:pPr>
        <w:pStyle w:val="NoSpacing"/>
        <w:numPr>
          <w:ilvl w:val="0"/>
          <w:numId w:val="1"/>
        </w:numPr>
        <w:spacing w:line="276" w:lineRule="auto"/>
        <w:jc w:val="both"/>
        <w:rPr>
          <w:rFonts w:ascii="Century Gothic" w:hAnsi="Century Gothic"/>
          <w:sz w:val="20"/>
          <w:szCs w:val="24"/>
        </w:rPr>
      </w:pPr>
      <w:r w:rsidRPr="008E34AB">
        <w:rPr>
          <w:rFonts w:ascii="Century Gothic" w:hAnsi="Century Gothic"/>
          <w:b/>
          <w:i/>
          <w:sz w:val="20"/>
          <w:szCs w:val="24"/>
          <w:u w:val="single"/>
        </w:rPr>
        <w:t>Hollington v F. Hewthorn and Company Limited (1943) 2 All ER 34.</w:t>
      </w:r>
    </w:p>
    <w:p w:rsidR="00C044B3" w:rsidRDefault="008245D8" w:rsidP="008245D8">
      <w:pPr>
        <w:pStyle w:val="NoSpacing"/>
        <w:spacing w:line="360" w:lineRule="auto"/>
        <w:jc w:val="both"/>
        <w:rPr>
          <w:rFonts w:ascii="Century Gothic" w:hAnsi="Century Gothic"/>
          <w:b/>
          <w:i/>
          <w:sz w:val="26"/>
          <w:szCs w:val="24"/>
        </w:rPr>
      </w:pPr>
      <w:r w:rsidRPr="00D20C15">
        <w:rPr>
          <w:rFonts w:ascii="Century Gothic" w:hAnsi="Century Gothic"/>
          <w:sz w:val="26"/>
          <w:szCs w:val="24"/>
        </w:rPr>
        <w:lastRenderedPageBreak/>
        <w:t>This Ruling is on the t</w:t>
      </w:r>
      <w:r w:rsidR="003B6CA2">
        <w:rPr>
          <w:rFonts w:ascii="Century Gothic" w:hAnsi="Century Gothic"/>
          <w:sz w:val="26"/>
          <w:szCs w:val="24"/>
        </w:rPr>
        <w:t>hree</w:t>
      </w:r>
      <w:r w:rsidRPr="00D20C15">
        <w:rPr>
          <w:rFonts w:ascii="Century Gothic" w:hAnsi="Century Gothic"/>
          <w:sz w:val="26"/>
          <w:szCs w:val="24"/>
        </w:rPr>
        <w:t xml:space="preserve"> preliminary issues raised by the </w:t>
      </w:r>
      <w:r w:rsidR="00DE5A81" w:rsidRPr="00D20C15">
        <w:rPr>
          <w:rFonts w:ascii="Century Gothic" w:hAnsi="Century Gothic"/>
          <w:sz w:val="26"/>
          <w:szCs w:val="24"/>
        </w:rPr>
        <w:t>Responde</w:t>
      </w:r>
      <w:r w:rsidRPr="00D20C15">
        <w:rPr>
          <w:rFonts w:ascii="Century Gothic" w:hAnsi="Century Gothic"/>
          <w:sz w:val="26"/>
          <w:szCs w:val="24"/>
        </w:rPr>
        <w:t xml:space="preserve">nts.  These were supported by </w:t>
      </w:r>
      <w:r w:rsidR="006B0BB3" w:rsidRPr="00D20C15">
        <w:rPr>
          <w:rFonts w:ascii="Century Gothic" w:hAnsi="Century Gothic"/>
          <w:sz w:val="26"/>
          <w:szCs w:val="24"/>
        </w:rPr>
        <w:t xml:space="preserve">Skeleton Heads </w:t>
      </w:r>
      <w:r w:rsidRPr="00D20C15">
        <w:rPr>
          <w:rFonts w:ascii="Century Gothic" w:hAnsi="Century Gothic"/>
          <w:sz w:val="26"/>
          <w:szCs w:val="24"/>
        </w:rPr>
        <w:t xml:space="preserve">of </w:t>
      </w:r>
      <w:r w:rsidR="006B0BB3" w:rsidRPr="00D20C15">
        <w:rPr>
          <w:rFonts w:ascii="Century Gothic" w:hAnsi="Century Gothic"/>
          <w:sz w:val="26"/>
          <w:szCs w:val="24"/>
        </w:rPr>
        <w:t>Argum</w:t>
      </w:r>
      <w:r w:rsidRPr="00D20C15">
        <w:rPr>
          <w:rFonts w:ascii="Century Gothic" w:hAnsi="Century Gothic"/>
          <w:sz w:val="26"/>
          <w:szCs w:val="24"/>
        </w:rPr>
        <w:t>ents dated 26</w:t>
      </w:r>
      <w:r w:rsidRPr="00D20C15">
        <w:rPr>
          <w:rFonts w:ascii="Century Gothic" w:hAnsi="Century Gothic"/>
          <w:sz w:val="26"/>
          <w:szCs w:val="24"/>
          <w:vertAlign w:val="superscript"/>
        </w:rPr>
        <w:t>th</w:t>
      </w:r>
      <w:r w:rsidRPr="00D20C15">
        <w:rPr>
          <w:rFonts w:ascii="Century Gothic" w:hAnsi="Century Gothic"/>
          <w:sz w:val="26"/>
          <w:szCs w:val="24"/>
        </w:rPr>
        <w:t xml:space="preserve"> December, 2012 and viva voce submissions.  The Applicants also filed arguments and authorities dated 8</w:t>
      </w:r>
      <w:r w:rsidRPr="00D20C15">
        <w:rPr>
          <w:rFonts w:ascii="Century Gothic" w:hAnsi="Century Gothic"/>
          <w:sz w:val="26"/>
          <w:szCs w:val="24"/>
          <w:vertAlign w:val="superscript"/>
        </w:rPr>
        <w:t>th</w:t>
      </w:r>
      <w:r w:rsidRPr="00D20C15">
        <w:rPr>
          <w:rFonts w:ascii="Century Gothic" w:hAnsi="Century Gothic"/>
          <w:sz w:val="26"/>
          <w:szCs w:val="24"/>
        </w:rPr>
        <w:t xml:space="preserve"> February, 2013. </w:t>
      </w:r>
      <w:r w:rsidR="006B0BB3">
        <w:rPr>
          <w:rFonts w:ascii="Century Gothic" w:hAnsi="Century Gothic"/>
          <w:sz w:val="26"/>
          <w:szCs w:val="24"/>
        </w:rPr>
        <w:t xml:space="preserve"> </w:t>
      </w:r>
      <w:r w:rsidRPr="00D20C15">
        <w:rPr>
          <w:rFonts w:ascii="Century Gothic" w:hAnsi="Century Gothic"/>
          <w:sz w:val="26"/>
          <w:szCs w:val="24"/>
        </w:rPr>
        <w:t xml:space="preserve">At the hearing, the </w:t>
      </w:r>
      <w:r w:rsidR="006B0BB3" w:rsidRPr="00D20C15">
        <w:rPr>
          <w:rFonts w:ascii="Century Gothic" w:hAnsi="Century Gothic"/>
          <w:sz w:val="26"/>
          <w:szCs w:val="24"/>
        </w:rPr>
        <w:t>Respon</w:t>
      </w:r>
      <w:r w:rsidRPr="00D20C15">
        <w:rPr>
          <w:rFonts w:ascii="Century Gothic" w:hAnsi="Century Gothic"/>
          <w:sz w:val="26"/>
          <w:szCs w:val="24"/>
        </w:rPr>
        <w:t>dents were given opportunity to file additional documents by 18</w:t>
      </w:r>
      <w:r w:rsidRPr="00D20C15">
        <w:rPr>
          <w:rFonts w:ascii="Century Gothic" w:hAnsi="Century Gothic"/>
          <w:sz w:val="26"/>
          <w:szCs w:val="24"/>
          <w:vertAlign w:val="superscript"/>
        </w:rPr>
        <w:t>th</w:t>
      </w:r>
      <w:r w:rsidRPr="00D20C15">
        <w:rPr>
          <w:rFonts w:ascii="Century Gothic" w:hAnsi="Century Gothic"/>
          <w:sz w:val="26"/>
          <w:szCs w:val="24"/>
        </w:rPr>
        <w:t xml:space="preserve"> February, 2013 but did not do so</w:t>
      </w:r>
      <w:r w:rsidR="00422FC5" w:rsidRPr="00D20C15">
        <w:rPr>
          <w:rFonts w:ascii="Century Gothic" w:hAnsi="Century Gothic"/>
          <w:sz w:val="26"/>
          <w:szCs w:val="24"/>
        </w:rPr>
        <w:t>.</w:t>
      </w:r>
      <w:r w:rsidR="00C044B3">
        <w:rPr>
          <w:rFonts w:ascii="Century Gothic" w:hAnsi="Century Gothic"/>
          <w:sz w:val="26"/>
          <w:szCs w:val="24"/>
        </w:rPr>
        <w:t xml:space="preserve">  </w:t>
      </w:r>
      <w:r w:rsidR="00422FC5" w:rsidRPr="00D20C15">
        <w:rPr>
          <w:rFonts w:ascii="Century Gothic" w:hAnsi="Century Gothic"/>
          <w:sz w:val="26"/>
          <w:szCs w:val="24"/>
        </w:rPr>
        <w:t xml:space="preserve">The first preliminary issue was that </w:t>
      </w:r>
      <w:r w:rsidR="00422FC5" w:rsidRPr="00D20C15">
        <w:rPr>
          <w:rFonts w:ascii="Century Gothic" w:hAnsi="Century Gothic"/>
          <w:b/>
          <w:i/>
          <w:sz w:val="26"/>
          <w:szCs w:val="24"/>
        </w:rPr>
        <w:t>“the action herein is irregular and an abuse of court process for multiplicity or duplicity of actions.”</w:t>
      </w:r>
    </w:p>
    <w:p w:rsidR="00422FC5" w:rsidRPr="00D20C15" w:rsidRDefault="00422FC5" w:rsidP="002438F1">
      <w:pPr>
        <w:pStyle w:val="NoSpacing"/>
        <w:jc w:val="both"/>
        <w:rPr>
          <w:rFonts w:ascii="Century Gothic" w:hAnsi="Century Gothic"/>
          <w:b/>
          <w:i/>
          <w:sz w:val="26"/>
          <w:szCs w:val="24"/>
        </w:rPr>
      </w:pPr>
      <w:r w:rsidRPr="00D20C15">
        <w:rPr>
          <w:rFonts w:ascii="Century Gothic" w:hAnsi="Century Gothic"/>
          <w:b/>
          <w:i/>
          <w:sz w:val="26"/>
          <w:szCs w:val="24"/>
        </w:rPr>
        <w:t xml:space="preserve"> </w:t>
      </w:r>
    </w:p>
    <w:p w:rsidR="00422FC5" w:rsidRDefault="00422FC5"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The </w:t>
      </w:r>
      <w:r w:rsidR="0031233C" w:rsidRPr="00D20C15">
        <w:rPr>
          <w:rFonts w:ascii="Century Gothic" w:hAnsi="Century Gothic"/>
          <w:sz w:val="26"/>
          <w:szCs w:val="24"/>
        </w:rPr>
        <w:t xml:space="preserve">Respondents </w:t>
      </w:r>
      <w:r w:rsidRPr="00D20C15">
        <w:rPr>
          <w:rFonts w:ascii="Century Gothic" w:hAnsi="Century Gothic"/>
          <w:sz w:val="26"/>
          <w:szCs w:val="24"/>
        </w:rPr>
        <w:t xml:space="preserve">argument was that since the mother to all the Applicants, Rosemary Bwalya Chibwe, had in an action in the Ndola High </w:t>
      </w:r>
      <w:r w:rsidR="0031233C" w:rsidRPr="00D20C15">
        <w:rPr>
          <w:rFonts w:ascii="Century Gothic" w:hAnsi="Century Gothic"/>
          <w:sz w:val="26"/>
          <w:szCs w:val="24"/>
        </w:rPr>
        <w:t xml:space="preserve">Court Registry under Cause </w:t>
      </w:r>
      <w:r w:rsidRPr="00D20C15">
        <w:rPr>
          <w:rFonts w:ascii="Century Gothic" w:hAnsi="Century Gothic"/>
          <w:sz w:val="26"/>
          <w:szCs w:val="24"/>
        </w:rPr>
        <w:t xml:space="preserve">No.  </w:t>
      </w:r>
      <w:r w:rsidRPr="008C5EFB">
        <w:rPr>
          <w:rFonts w:ascii="Century Gothic" w:hAnsi="Century Gothic"/>
          <w:b/>
          <w:i/>
          <w:sz w:val="26"/>
          <w:szCs w:val="24"/>
          <w:u w:val="single"/>
        </w:rPr>
        <w:t>1994/HN/CA4</w:t>
      </w:r>
      <w:r w:rsidRPr="00D20C15">
        <w:rPr>
          <w:rFonts w:ascii="Century Gothic" w:hAnsi="Century Gothic"/>
          <w:sz w:val="26"/>
          <w:szCs w:val="24"/>
        </w:rPr>
        <w:t xml:space="preserve"> joined the </w:t>
      </w:r>
      <w:r w:rsidR="001820D6" w:rsidRPr="00D20C15">
        <w:rPr>
          <w:rFonts w:ascii="Century Gothic" w:hAnsi="Century Gothic"/>
          <w:sz w:val="26"/>
          <w:szCs w:val="24"/>
        </w:rPr>
        <w:t>Resp</w:t>
      </w:r>
      <w:r w:rsidRPr="00D20C15">
        <w:rPr>
          <w:rFonts w:ascii="Century Gothic" w:hAnsi="Century Gothic"/>
          <w:sz w:val="26"/>
          <w:szCs w:val="24"/>
        </w:rPr>
        <w:t xml:space="preserve">ondents as executors of the </w:t>
      </w:r>
      <w:r w:rsidR="003B6CA2" w:rsidRPr="00D20C15">
        <w:rPr>
          <w:rFonts w:ascii="Century Gothic" w:hAnsi="Century Gothic"/>
          <w:sz w:val="26"/>
          <w:szCs w:val="24"/>
        </w:rPr>
        <w:t>W</w:t>
      </w:r>
      <w:r w:rsidRPr="00D20C15">
        <w:rPr>
          <w:rFonts w:ascii="Century Gothic" w:hAnsi="Century Gothic"/>
          <w:sz w:val="26"/>
          <w:szCs w:val="24"/>
        </w:rPr>
        <w:t>ill of the late Austin Mus</w:t>
      </w:r>
      <w:r w:rsidR="00395FE2" w:rsidRPr="00D20C15">
        <w:rPr>
          <w:rFonts w:ascii="Century Gothic" w:hAnsi="Century Gothic"/>
          <w:sz w:val="26"/>
          <w:szCs w:val="24"/>
        </w:rPr>
        <w:t xml:space="preserve">ubila </w:t>
      </w:r>
      <w:r w:rsidR="00340378" w:rsidRPr="00D20C15">
        <w:rPr>
          <w:rFonts w:ascii="Century Gothic" w:hAnsi="Century Gothic"/>
          <w:sz w:val="26"/>
          <w:szCs w:val="24"/>
        </w:rPr>
        <w:t>Chibwe</w:t>
      </w:r>
      <w:r w:rsidR="00395FE2" w:rsidRPr="00D20C15">
        <w:rPr>
          <w:rFonts w:ascii="Century Gothic" w:hAnsi="Century Gothic"/>
          <w:sz w:val="26"/>
          <w:szCs w:val="24"/>
        </w:rPr>
        <w:t xml:space="preserve">, the current action by her children amounted to multiplicity of actions.  </w:t>
      </w:r>
      <w:r w:rsidR="00B22F9F" w:rsidRPr="00D20C15">
        <w:rPr>
          <w:rFonts w:ascii="Century Gothic" w:hAnsi="Century Gothic"/>
          <w:sz w:val="26"/>
          <w:szCs w:val="24"/>
        </w:rPr>
        <w:t xml:space="preserve"> That in addition, there </w:t>
      </w:r>
      <w:r w:rsidR="003B6CA2">
        <w:rPr>
          <w:rFonts w:ascii="Century Gothic" w:hAnsi="Century Gothic"/>
          <w:sz w:val="26"/>
          <w:szCs w:val="24"/>
        </w:rPr>
        <w:t>was</w:t>
      </w:r>
      <w:r w:rsidR="00B22F9F" w:rsidRPr="00D20C15">
        <w:rPr>
          <w:rFonts w:ascii="Century Gothic" w:hAnsi="Century Gothic"/>
          <w:sz w:val="26"/>
          <w:szCs w:val="24"/>
        </w:rPr>
        <w:t xml:space="preserve"> an action by AMC contractors Ltd against </w:t>
      </w:r>
      <w:r w:rsidR="00340378" w:rsidRPr="00D20C15">
        <w:rPr>
          <w:rFonts w:ascii="Century Gothic" w:hAnsi="Century Gothic"/>
          <w:sz w:val="26"/>
          <w:szCs w:val="24"/>
        </w:rPr>
        <w:t xml:space="preserve">Rosemary </w:t>
      </w:r>
      <w:r w:rsidR="00F52FF7" w:rsidRPr="00D20C15">
        <w:rPr>
          <w:rFonts w:ascii="Century Gothic" w:hAnsi="Century Gothic"/>
          <w:sz w:val="26"/>
          <w:szCs w:val="24"/>
        </w:rPr>
        <w:t xml:space="preserve">Bwalya </w:t>
      </w:r>
      <w:r w:rsidR="00F52FF7">
        <w:rPr>
          <w:rFonts w:ascii="Century Gothic" w:hAnsi="Century Gothic"/>
          <w:sz w:val="26"/>
          <w:szCs w:val="24"/>
        </w:rPr>
        <w:t>Chibwe</w:t>
      </w:r>
      <w:r w:rsidR="003B6CA2">
        <w:rPr>
          <w:rFonts w:ascii="Century Gothic" w:hAnsi="Century Gothic"/>
          <w:sz w:val="26"/>
          <w:szCs w:val="24"/>
        </w:rPr>
        <w:t xml:space="preserve"> </w:t>
      </w:r>
      <w:r w:rsidR="00B22F9F" w:rsidRPr="00D20C15">
        <w:rPr>
          <w:rFonts w:ascii="Century Gothic" w:hAnsi="Century Gothic"/>
          <w:sz w:val="26"/>
          <w:szCs w:val="24"/>
        </w:rPr>
        <w:t xml:space="preserve">under </w:t>
      </w:r>
      <w:r w:rsidR="00340378" w:rsidRPr="00D20C15">
        <w:rPr>
          <w:rFonts w:ascii="Century Gothic" w:hAnsi="Century Gothic"/>
          <w:sz w:val="26"/>
          <w:szCs w:val="24"/>
        </w:rPr>
        <w:t xml:space="preserve">Cause </w:t>
      </w:r>
      <w:r w:rsidR="00B22F9F" w:rsidRPr="00D20C15">
        <w:rPr>
          <w:rFonts w:ascii="Century Gothic" w:hAnsi="Century Gothic"/>
          <w:sz w:val="26"/>
          <w:szCs w:val="24"/>
        </w:rPr>
        <w:t>No</w:t>
      </w:r>
      <w:r w:rsidR="00340378" w:rsidRPr="00D20C15">
        <w:rPr>
          <w:rFonts w:ascii="Century Gothic" w:hAnsi="Century Gothic"/>
          <w:sz w:val="26"/>
          <w:szCs w:val="24"/>
        </w:rPr>
        <w:t xml:space="preserve">. </w:t>
      </w:r>
      <w:r w:rsidR="00B22F9F" w:rsidRPr="008C5EFB">
        <w:rPr>
          <w:rFonts w:ascii="Century Gothic" w:hAnsi="Century Gothic"/>
          <w:b/>
          <w:i/>
          <w:sz w:val="26"/>
          <w:szCs w:val="24"/>
          <w:u w:val="single"/>
        </w:rPr>
        <w:t>2011/HN/140</w:t>
      </w:r>
      <w:r w:rsidR="00B22F9F" w:rsidRPr="00D20C15">
        <w:rPr>
          <w:rFonts w:ascii="Century Gothic" w:hAnsi="Century Gothic"/>
          <w:sz w:val="26"/>
          <w:szCs w:val="24"/>
        </w:rPr>
        <w:t xml:space="preserve">.  That the proper course was for the Applicants to be joined to the Ndola </w:t>
      </w:r>
      <w:r w:rsidR="00340378" w:rsidRPr="00D20C15">
        <w:rPr>
          <w:rFonts w:ascii="Century Gothic" w:hAnsi="Century Gothic"/>
          <w:sz w:val="26"/>
          <w:szCs w:val="24"/>
        </w:rPr>
        <w:t xml:space="preserve">High Court </w:t>
      </w:r>
      <w:r w:rsidR="00B22F9F" w:rsidRPr="00D20C15">
        <w:rPr>
          <w:rFonts w:ascii="Century Gothic" w:hAnsi="Century Gothic"/>
          <w:sz w:val="26"/>
          <w:szCs w:val="24"/>
        </w:rPr>
        <w:t xml:space="preserve">action since their action involved </w:t>
      </w:r>
      <w:r w:rsidR="00340378" w:rsidRPr="00D20C15">
        <w:rPr>
          <w:rFonts w:ascii="Century Gothic" w:hAnsi="Century Gothic"/>
          <w:sz w:val="26"/>
          <w:szCs w:val="24"/>
        </w:rPr>
        <w:t>the same</w:t>
      </w:r>
      <w:r w:rsidR="00B22F9F" w:rsidRPr="00D20C15">
        <w:rPr>
          <w:rFonts w:ascii="Century Gothic" w:hAnsi="Century Gothic"/>
          <w:sz w:val="26"/>
          <w:szCs w:val="24"/>
        </w:rPr>
        <w:t xml:space="preserve"> </w:t>
      </w:r>
      <w:r w:rsidR="008C5EFB" w:rsidRPr="00D20C15">
        <w:rPr>
          <w:rFonts w:ascii="Century Gothic" w:hAnsi="Century Gothic"/>
          <w:sz w:val="26"/>
          <w:szCs w:val="24"/>
        </w:rPr>
        <w:t>Wil</w:t>
      </w:r>
      <w:r w:rsidR="00B22F9F" w:rsidRPr="00D20C15">
        <w:rPr>
          <w:rFonts w:ascii="Century Gothic" w:hAnsi="Century Gothic"/>
          <w:sz w:val="26"/>
          <w:szCs w:val="24"/>
        </w:rPr>
        <w:t xml:space="preserve">l and its provisions.  Further that </w:t>
      </w:r>
      <w:r w:rsidR="008C5EFB">
        <w:rPr>
          <w:rFonts w:ascii="Century Gothic" w:hAnsi="Century Gothic"/>
          <w:sz w:val="26"/>
          <w:szCs w:val="24"/>
        </w:rPr>
        <w:t xml:space="preserve">under </w:t>
      </w:r>
      <w:r w:rsidR="00340378" w:rsidRPr="00D20C15">
        <w:rPr>
          <w:rFonts w:ascii="Century Gothic" w:hAnsi="Century Gothic"/>
          <w:sz w:val="26"/>
          <w:szCs w:val="24"/>
        </w:rPr>
        <w:t>Cause No</w:t>
      </w:r>
      <w:r w:rsidR="00B22F9F" w:rsidRPr="00D20C15">
        <w:rPr>
          <w:rFonts w:ascii="Century Gothic" w:hAnsi="Century Gothic"/>
          <w:sz w:val="26"/>
          <w:szCs w:val="24"/>
        </w:rPr>
        <w:t xml:space="preserve">. </w:t>
      </w:r>
      <w:r w:rsidR="00B22F9F" w:rsidRPr="008C5EFB">
        <w:rPr>
          <w:rFonts w:ascii="Century Gothic" w:hAnsi="Century Gothic"/>
          <w:b/>
          <w:i/>
          <w:sz w:val="26"/>
          <w:szCs w:val="24"/>
          <w:u w:val="single"/>
        </w:rPr>
        <w:t>2011/HN/140</w:t>
      </w:r>
      <w:r w:rsidR="008C5EFB">
        <w:rPr>
          <w:rFonts w:ascii="Century Gothic" w:hAnsi="Century Gothic"/>
          <w:sz w:val="26"/>
          <w:szCs w:val="24"/>
        </w:rPr>
        <w:t>,</w:t>
      </w:r>
      <w:r w:rsidR="00B22F9F" w:rsidRPr="00D20C15">
        <w:rPr>
          <w:rFonts w:ascii="Century Gothic" w:hAnsi="Century Gothic"/>
          <w:sz w:val="26"/>
          <w:szCs w:val="24"/>
        </w:rPr>
        <w:t xml:space="preserve"> there was an injunction against the Applicants’ mother from interfering with the operations of the company and the Applicants were also seeking to restrain the company and to make it account before the matter can be heard.</w:t>
      </w:r>
    </w:p>
    <w:p w:rsidR="00E122EB" w:rsidRDefault="00E122EB" w:rsidP="002438F1">
      <w:pPr>
        <w:pStyle w:val="NoSpacing"/>
        <w:jc w:val="both"/>
        <w:rPr>
          <w:rFonts w:ascii="Century Gothic" w:hAnsi="Century Gothic"/>
          <w:sz w:val="26"/>
          <w:szCs w:val="24"/>
        </w:rPr>
      </w:pPr>
    </w:p>
    <w:p w:rsidR="00E122EB" w:rsidRPr="00D20C15" w:rsidRDefault="00E122EB" w:rsidP="008245D8">
      <w:pPr>
        <w:pStyle w:val="NoSpacing"/>
        <w:spacing w:line="360" w:lineRule="auto"/>
        <w:jc w:val="both"/>
        <w:rPr>
          <w:rFonts w:ascii="Century Gothic" w:hAnsi="Century Gothic"/>
          <w:sz w:val="26"/>
          <w:szCs w:val="24"/>
        </w:rPr>
      </w:pPr>
      <w:r>
        <w:rPr>
          <w:rFonts w:ascii="Century Gothic" w:hAnsi="Century Gothic"/>
          <w:sz w:val="26"/>
          <w:szCs w:val="24"/>
        </w:rPr>
        <w:t xml:space="preserve">The </w:t>
      </w:r>
      <w:r w:rsidR="00A056F1">
        <w:rPr>
          <w:rFonts w:ascii="Century Gothic" w:hAnsi="Century Gothic"/>
          <w:sz w:val="26"/>
          <w:szCs w:val="24"/>
        </w:rPr>
        <w:t xml:space="preserve">Supreme Court </w:t>
      </w:r>
      <w:r>
        <w:rPr>
          <w:rFonts w:ascii="Century Gothic" w:hAnsi="Century Gothic"/>
          <w:sz w:val="26"/>
          <w:szCs w:val="24"/>
        </w:rPr>
        <w:t xml:space="preserve">case of </w:t>
      </w:r>
      <w:r w:rsidR="00A056F1" w:rsidRPr="00A755FD">
        <w:rPr>
          <w:rFonts w:ascii="Century Gothic" w:hAnsi="Century Gothic"/>
          <w:b/>
          <w:i/>
          <w:sz w:val="26"/>
          <w:szCs w:val="24"/>
          <w:u w:val="single"/>
        </w:rPr>
        <w:t xml:space="preserve">Development Bank </w:t>
      </w:r>
      <w:r w:rsidR="00900CFB">
        <w:rPr>
          <w:rFonts w:ascii="Century Gothic" w:hAnsi="Century Gothic"/>
          <w:b/>
          <w:i/>
          <w:sz w:val="26"/>
          <w:szCs w:val="24"/>
          <w:u w:val="single"/>
        </w:rPr>
        <w:t>o</w:t>
      </w:r>
      <w:r w:rsidR="00A056F1" w:rsidRPr="00A755FD">
        <w:rPr>
          <w:rFonts w:ascii="Century Gothic" w:hAnsi="Century Gothic"/>
          <w:b/>
          <w:i/>
          <w:sz w:val="26"/>
          <w:szCs w:val="24"/>
          <w:u w:val="single"/>
        </w:rPr>
        <w:t xml:space="preserve">f </w:t>
      </w:r>
      <w:r w:rsidRPr="00A755FD">
        <w:rPr>
          <w:rFonts w:ascii="Century Gothic" w:hAnsi="Century Gothic"/>
          <w:b/>
          <w:i/>
          <w:sz w:val="26"/>
          <w:szCs w:val="24"/>
          <w:u w:val="single"/>
        </w:rPr>
        <w:t xml:space="preserve">Zambia </w:t>
      </w:r>
      <w:r w:rsidR="00900CFB">
        <w:rPr>
          <w:rFonts w:ascii="Century Gothic" w:hAnsi="Century Gothic"/>
          <w:b/>
          <w:i/>
          <w:sz w:val="26"/>
          <w:szCs w:val="24"/>
          <w:u w:val="single"/>
        </w:rPr>
        <w:t>a</w:t>
      </w:r>
      <w:r w:rsidR="00A056F1" w:rsidRPr="00A755FD">
        <w:rPr>
          <w:rFonts w:ascii="Century Gothic" w:hAnsi="Century Gothic"/>
          <w:b/>
          <w:i/>
          <w:sz w:val="26"/>
          <w:szCs w:val="24"/>
          <w:u w:val="single"/>
        </w:rPr>
        <w:t xml:space="preserve">nd Another </w:t>
      </w:r>
      <w:r w:rsidR="00900CFB">
        <w:rPr>
          <w:rFonts w:ascii="Century Gothic" w:hAnsi="Century Gothic"/>
          <w:b/>
          <w:i/>
          <w:sz w:val="26"/>
          <w:szCs w:val="24"/>
          <w:u w:val="single"/>
        </w:rPr>
        <w:t xml:space="preserve">v </w:t>
      </w:r>
      <w:r w:rsidR="00A056F1" w:rsidRPr="00A755FD">
        <w:rPr>
          <w:rFonts w:ascii="Century Gothic" w:hAnsi="Century Gothic"/>
          <w:b/>
          <w:i/>
          <w:sz w:val="26"/>
          <w:szCs w:val="24"/>
          <w:u w:val="single"/>
        </w:rPr>
        <w:t xml:space="preserve">Sunset </w:t>
      </w:r>
      <w:r w:rsidR="00A755FD" w:rsidRPr="00A755FD">
        <w:rPr>
          <w:rFonts w:ascii="Century Gothic" w:hAnsi="Century Gothic"/>
          <w:b/>
          <w:i/>
          <w:sz w:val="26"/>
          <w:szCs w:val="24"/>
          <w:u w:val="single"/>
        </w:rPr>
        <w:t>a</w:t>
      </w:r>
      <w:r w:rsidR="00A056F1" w:rsidRPr="00A755FD">
        <w:rPr>
          <w:rFonts w:ascii="Century Gothic" w:hAnsi="Century Gothic"/>
          <w:b/>
          <w:i/>
          <w:sz w:val="26"/>
          <w:szCs w:val="24"/>
          <w:u w:val="single"/>
        </w:rPr>
        <w:t xml:space="preserve">nd Another (1995-1997) </w:t>
      </w:r>
      <w:r w:rsidRPr="00A755FD">
        <w:rPr>
          <w:rFonts w:ascii="Century Gothic" w:hAnsi="Century Gothic"/>
          <w:b/>
          <w:i/>
          <w:sz w:val="26"/>
          <w:szCs w:val="24"/>
          <w:u w:val="single"/>
        </w:rPr>
        <w:t xml:space="preserve">ZR </w:t>
      </w:r>
      <w:r w:rsidR="00A056F1" w:rsidRPr="00A755FD">
        <w:rPr>
          <w:rFonts w:ascii="Century Gothic" w:hAnsi="Century Gothic"/>
          <w:b/>
          <w:i/>
          <w:sz w:val="26"/>
          <w:szCs w:val="24"/>
          <w:u w:val="single"/>
        </w:rPr>
        <w:t>187</w:t>
      </w:r>
      <w:r w:rsidR="00A056F1">
        <w:rPr>
          <w:rFonts w:ascii="Century Gothic" w:hAnsi="Century Gothic"/>
          <w:sz w:val="26"/>
          <w:szCs w:val="24"/>
        </w:rPr>
        <w:t xml:space="preserve"> </w:t>
      </w:r>
      <w:r w:rsidR="00A755FD">
        <w:rPr>
          <w:rFonts w:ascii="Century Gothic" w:hAnsi="Century Gothic"/>
          <w:sz w:val="26"/>
          <w:szCs w:val="24"/>
        </w:rPr>
        <w:t>a</w:t>
      </w:r>
      <w:r>
        <w:rPr>
          <w:rFonts w:ascii="Century Gothic" w:hAnsi="Century Gothic"/>
          <w:sz w:val="26"/>
          <w:szCs w:val="24"/>
        </w:rPr>
        <w:t xml:space="preserve">nd </w:t>
      </w:r>
      <w:r w:rsidRPr="00A755FD">
        <w:rPr>
          <w:rFonts w:ascii="Century Gothic" w:hAnsi="Century Gothic"/>
          <w:b/>
          <w:i/>
          <w:sz w:val="26"/>
          <w:szCs w:val="24"/>
          <w:u w:val="single"/>
        </w:rPr>
        <w:t xml:space="preserve">Afro </w:t>
      </w:r>
      <w:r w:rsidR="00A755FD" w:rsidRPr="00A755FD">
        <w:rPr>
          <w:rFonts w:ascii="Century Gothic" w:hAnsi="Century Gothic"/>
          <w:b/>
          <w:i/>
          <w:sz w:val="26"/>
          <w:szCs w:val="24"/>
          <w:u w:val="single"/>
        </w:rPr>
        <w:t xml:space="preserve">Butcheries Limited </w:t>
      </w:r>
      <w:r w:rsidR="00A755FD">
        <w:rPr>
          <w:rFonts w:ascii="Century Gothic" w:hAnsi="Century Gothic"/>
          <w:b/>
          <w:i/>
          <w:sz w:val="26"/>
          <w:szCs w:val="24"/>
          <w:u w:val="single"/>
        </w:rPr>
        <w:t xml:space="preserve">v </w:t>
      </w:r>
      <w:r w:rsidR="00A755FD" w:rsidRPr="00A755FD">
        <w:rPr>
          <w:rFonts w:ascii="Century Gothic" w:hAnsi="Century Gothic"/>
          <w:b/>
          <w:i/>
          <w:sz w:val="26"/>
          <w:szCs w:val="24"/>
          <w:u w:val="single"/>
        </w:rPr>
        <w:t xml:space="preserve"> Evans Limited (1987) </w:t>
      </w:r>
      <w:r w:rsidRPr="00A755FD">
        <w:rPr>
          <w:rFonts w:ascii="Century Gothic" w:hAnsi="Century Gothic"/>
          <w:b/>
          <w:i/>
          <w:sz w:val="26"/>
          <w:szCs w:val="24"/>
          <w:u w:val="single"/>
        </w:rPr>
        <w:t xml:space="preserve">ZR </w:t>
      </w:r>
      <w:r w:rsidR="00A755FD" w:rsidRPr="00A755FD">
        <w:rPr>
          <w:rFonts w:ascii="Century Gothic" w:hAnsi="Century Gothic"/>
          <w:b/>
          <w:i/>
          <w:sz w:val="26"/>
          <w:szCs w:val="24"/>
          <w:u w:val="single"/>
        </w:rPr>
        <w:t>39</w:t>
      </w:r>
      <w:r w:rsidR="00A755FD" w:rsidRPr="00A755FD">
        <w:rPr>
          <w:rFonts w:ascii="Century Gothic" w:hAnsi="Century Gothic"/>
          <w:b/>
          <w:i/>
          <w:sz w:val="26"/>
          <w:szCs w:val="24"/>
        </w:rPr>
        <w:t xml:space="preserve"> </w:t>
      </w:r>
      <w:r>
        <w:rPr>
          <w:rFonts w:ascii="Century Gothic" w:hAnsi="Century Gothic"/>
          <w:sz w:val="26"/>
          <w:szCs w:val="24"/>
        </w:rPr>
        <w:t>were among the cases cited in support.</w:t>
      </w:r>
    </w:p>
    <w:p w:rsidR="00B22F9F" w:rsidRPr="00D20C15" w:rsidRDefault="00B22F9F" w:rsidP="008245D8">
      <w:pPr>
        <w:pStyle w:val="NoSpacing"/>
        <w:spacing w:line="360" w:lineRule="auto"/>
        <w:jc w:val="both"/>
        <w:rPr>
          <w:rFonts w:ascii="Century Gothic" w:hAnsi="Century Gothic"/>
          <w:sz w:val="26"/>
          <w:szCs w:val="24"/>
        </w:rPr>
      </w:pPr>
    </w:p>
    <w:p w:rsidR="00B22F9F" w:rsidRPr="00D20C15" w:rsidRDefault="00B22F9F"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The Applicants</w:t>
      </w:r>
      <w:r w:rsidR="00A306E1">
        <w:rPr>
          <w:rFonts w:ascii="Century Gothic" w:hAnsi="Century Gothic"/>
          <w:sz w:val="26"/>
          <w:szCs w:val="24"/>
        </w:rPr>
        <w:t>’</w:t>
      </w:r>
      <w:r w:rsidRPr="00D20C15">
        <w:rPr>
          <w:rFonts w:ascii="Century Gothic" w:hAnsi="Century Gothic"/>
          <w:sz w:val="26"/>
          <w:szCs w:val="24"/>
        </w:rPr>
        <w:t xml:space="preserve"> respon</w:t>
      </w:r>
      <w:r w:rsidR="0048588F">
        <w:rPr>
          <w:rFonts w:ascii="Century Gothic" w:hAnsi="Century Gothic"/>
          <w:sz w:val="26"/>
          <w:szCs w:val="24"/>
        </w:rPr>
        <w:t>se</w:t>
      </w:r>
      <w:r w:rsidRPr="00D20C15">
        <w:rPr>
          <w:rFonts w:ascii="Century Gothic" w:hAnsi="Century Gothic"/>
          <w:sz w:val="26"/>
          <w:szCs w:val="24"/>
        </w:rPr>
        <w:t xml:space="preserve"> was that the </w:t>
      </w:r>
      <w:r w:rsidR="0048588F" w:rsidRPr="00D20C15">
        <w:rPr>
          <w:rFonts w:ascii="Century Gothic" w:hAnsi="Century Gothic"/>
          <w:sz w:val="26"/>
          <w:szCs w:val="24"/>
        </w:rPr>
        <w:t>Ndo</w:t>
      </w:r>
      <w:r w:rsidRPr="00D20C15">
        <w:rPr>
          <w:rFonts w:ascii="Century Gothic" w:hAnsi="Century Gothic"/>
          <w:sz w:val="26"/>
          <w:szCs w:val="24"/>
        </w:rPr>
        <w:t xml:space="preserve">la action under cause No. </w:t>
      </w:r>
      <w:r w:rsidRPr="004F021C">
        <w:rPr>
          <w:rFonts w:ascii="Century Gothic" w:hAnsi="Century Gothic"/>
          <w:b/>
          <w:i/>
          <w:sz w:val="26"/>
          <w:szCs w:val="24"/>
          <w:u w:val="single"/>
        </w:rPr>
        <w:t>1994/HN/CA4</w:t>
      </w:r>
      <w:r w:rsidRPr="00D20C15">
        <w:rPr>
          <w:rFonts w:ascii="Century Gothic" w:hAnsi="Century Gothic"/>
          <w:sz w:val="26"/>
          <w:szCs w:val="24"/>
        </w:rPr>
        <w:t xml:space="preserve"> was for property settlement and maintenance awards and </w:t>
      </w:r>
      <w:r w:rsidRPr="00D20C15">
        <w:rPr>
          <w:rFonts w:ascii="Century Gothic" w:hAnsi="Century Gothic"/>
          <w:sz w:val="26"/>
          <w:szCs w:val="24"/>
        </w:rPr>
        <w:lastRenderedPageBreak/>
        <w:t xml:space="preserve">the </w:t>
      </w:r>
      <w:r w:rsidR="0048588F" w:rsidRPr="00D20C15">
        <w:rPr>
          <w:rFonts w:ascii="Century Gothic" w:hAnsi="Century Gothic"/>
          <w:sz w:val="26"/>
          <w:szCs w:val="24"/>
        </w:rPr>
        <w:t xml:space="preserve"> Respondents </w:t>
      </w:r>
      <w:r w:rsidRPr="00D20C15">
        <w:rPr>
          <w:rFonts w:ascii="Century Gothic" w:hAnsi="Century Gothic"/>
          <w:sz w:val="26"/>
          <w:szCs w:val="24"/>
        </w:rPr>
        <w:t xml:space="preserve">were joined in order to restrain them from executing the </w:t>
      </w:r>
      <w:r w:rsidR="004F021C" w:rsidRPr="00D20C15">
        <w:rPr>
          <w:rFonts w:ascii="Century Gothic" w:hAnsi="Century Gothic"/>
          <w:sz w:val="26"/>
          <w:szCs w:val="24"/>
        </w:rPr>
        <w:t>Will</w:t>
      </w:r>
      <w:r w:rsidRPr="00D20C15">
        <w:rPr>
          <w:rFonts w:ascii="Century Gothic" w:hAnsi="Century Gothic"/>
          <w:sz w:val="26"/>
          <w:szCs w:val="24"/>
        </w:rPr>
        <w:t xml:space="preserve"> pending disposal of her </w:t>
      </w:r>
      <w:r w:rsidR="009363DE" w:rsidRPr="00D20C15">
        <w:rPr>
          <w:rFonts w:ascii="Century Gothic" w:hAnsi="Century Gothic"/>
          <w:sz w:val="26"/>
          <w:szCs w:val="24"/>
        </w:rPr>
        <w:t xml:space="preserve"> application for property settlement.  On the other hand, the current application was for  nullification of the </w:t>
      </w:r>
      <w:r w:rsidR="004F021C" w:rsidRPr="00D20C15">
        <w:rPr>
          <w:rFonts w:ascii="Century Gothic" w:hAnsi="Century Gothic"/>
          <w:sz w:val="26"/>
          <w:szCs w:val="24"/>
        </w:rPr>
        <w:t>W</w:t>
      </w:r>
      <w:r w:rsidR="009363DE" w:rsidRPr="00D20C15">
        <w:rPr>
          <w:rFonts w:ascii="Century Gothic" w:hAnsi="Century Gothic"/>
          <w:sz w:val="26"/>
          <w:szCs w:val="24"/>
        </w:rPr>
        <w:t xml:space="preserve">ill.  That there was therefore no duplicity or multiplicity of actions contrary to the arguments by the </w:t>
      </w:r>
      <w:r w:rsidR="0048588F" w:rsidRPr="00D20C15">
        <w:rPr>
          <w:rFonts w:ascii="Century Gothic" w:hAnsi="Century Gothic"/>
          <w:sz w:val="26"/>
          <w:szCs w:val="24"/>
        </w:rPr>
        <w:t>Respo</w:t>
      </w:r>
      <w:r w:rsidR="009363DE" w:rsidRPr="00D20C15">
        <w:rPr>
          <w:rFonts w:ascii="Century Gothic" w:hAnsi="Century Gothic"/>
          <w:sz w:val="26"/>
          <w:szCs w:val="24"/>
        </w:rPr>
        <w:t xml:space="preserve">ndents. </w:t>
      </w:r>
    </w:p>
    <w:p w:rsidR="00B628D9" w:rsidRPr="00D20C15" w:rsidRDefault="00B628D9" w:rsidP="002438F1">
      <w:pPr>
        <w:pStyle w:val="NoSpacing"/>
        <w:jc w:val="both"/>
        <w:rPr>
          <w:rFonts w:ascii="Century Gothic" w:hAnsi="Century Gothic"/>
          <w:sz w:val="26"/>
          <w:szCs w:val="24"/>
        </w:rPr>
      </w:pPr>
    </w:p>
    <w:p w:rsidR="00B628D9" w:rsidRPr="00D20C15" w:rsidRDefault="00B628D9"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I have </w:t>
      </w:r>
      <w:r w:rsidR="0048588F" w:rsidRPr="00D20C15">
        <w:rPr>
          <w:rFonts w:ascii="Century Gothic" w:hAnsi="Century Gothic"/>
          <w:sz w:val="26"/>
          <w:szCs w:val="24"/>
        </w:rPr>
        <w:t>considered</w:t>
      </w:r>
      <w:r w:rsidRPr="00D20C15">
        <w:rPr>
          <w:rFonts w:ascii="Century Gothic" w:hAnsi="Century Gothic"/>
          <w:sz w:val="26"/>
          <w:szCs w:val="24"/>
        </w:rPr>
        <w:t xml:space="preserve"> the submission</w:t>
      </w:r>
      <w:r w:rsidR="0048588F">
        <w:rPr>
          <w:rFonts w:ascii="Century Gothic" w:hAnsi="Century Gothic"/>
          <w:sz w:val="26"/>
          <w:szCs w:val="24"/>
        </w:rPr>
        <w:t>s</w:t>
      </w:r>
      <w:r w:rsidRPr="00D20C15">
        <w:rPr>
          <w:rFonts w:ascii="Century Gothic" w:hAnsi="Century Gothic"/>
          <w:sz w:val="26"/>
          <w:szCs w:val="24"/>
        </w:rPr>
        <w:t xml:space="preserve"> by both parties and </w:t>
      </w:r>
      <w:r w:rsidR="0048588F" w:rsidRPr="00D20C15">
        <w:rPr>
          <w:rFonts w:ascii="Century Gothic" w:hAnsi="Century Gothic"/>
          <w:sz w:val="26"/>
          <w:szCs w:val="24"/>
        </w:rPr>
        <w:t>authorities</w:t>
      </w:r>
      <w:r w:rsidRPr="00D20C15">
        <w:rPr>
          <w:rFonts w:ascii="Century Gothic" w:hAnsi="Century Gothic"/>
          <w:sz w:val="26"/>
          <w:szCs w:val="24"/>
        </w:rPr>
        <w:t xml:space="preserve"> cited.  I have also considered the court documents under cause No. </w:t>
      </w:r>
      <w:r w:rsidRPr="0048588F">
        <w:rPr>
          <w:rFonts w:ascii="Century Gothic" w:hAnsi="Century Gothic"/>
          <w:b/>
          <w:i/>
          <w:sz w:val="26"/>
          <w:szCs w:val="24"/>
          <w:u w:val="single"/>
        </w:rPr>
        <w:t>1994/HN/CA4</w:t>
      </w:r>
      <w:r w:rsidRPr="00D20C15">
        <w:rPr>
          <w:rFonts w:ascii="Century Gothic" w:hAnsi="Century Gothic"/>
          <w:sz w:val="26"/>
          <w:szCs w:val="24"/>
        </w:rPr>
        <w:t xml:space="preserve"> and </w:t>
      </w:r>
      <w:r w:rsidRPr="0048588F">
        <w:rPr>
          <w:rFonts w:ascii="Century Gothic" w:hAnsi="Century Gothic"/>
          <w:b/>
          <w:i/>
          <w:sz w:val="26"/>
          <w:szCs w:val="24"/>
          <w:u w:val="single"/>
        </w:rPr>
        <w:t>2011/HN/140</w:t>
      </w:r>
      <w:r w:rsidRPr="00D20C15">
        <w:rPr>
          <w:rFonts w:ascii="Century Gothic" w:hAnsi="Century Gothic"/>
          <w:sz w:val="26"/>
          <w:szCs w:val="24"/>
        </w:rPr>
        <w:t xml:space="preserve"> exhibited by the parties and the </w:t>
      </w:r>
      <w:r w:rsidR="0048588F" w:rsidRPr="00D20C15">
        <w:rPr>
          <w:rFonts w:ascii="Century Gothic" w:hAnsi="Century Gothic"/>
          <w:sz w:val="26"/>
          <w:szCs w:val="24"/>
        </w:rPr>
        <w:t>Resp</w:t>
      </w:r>
      <w:r w:rsidRPr="00D20C15">
        <w:rPr>
          <w:rFonts w:ascii="Century Gothic" w:hAnsi="Century Gothic"/>
          <w:sz w:val="26"/>
          <w:szCs w:val="24"/>
        </w:rPr>
        <w:t xml:space="preserve">ondents submission that it would be in the interest of justice for the Applicants to be joined to cause </w:t>
      </w:r>
      <w:r w:rsidR="00DA31DC" w:rsidRPr="00DA31DC">
        <w:rPr>
          <w:rFonts w:ascii="Century Gothic" w:hAnsi="Century Gothic"/>
          <w:sz w:val="26"/>
          <w:szCs w:val="24"/>
        </w:rPr>
        <w:t>no.</w:t>
      </w:r>
      <w:r w:rsidR="00DA31DC" w:rsidRPr="00DA31DC">
        <w:rPr>
          <w:rFonts w:ascii="Century Gothic" w:hAnsi="Century Gothic"/>
          <w:b/>
          <w:i/>
          <w:sz w:val="26"/>
          <w:szCs w:val="24"/>
        </w:rPr>
        <w:t xml:space="preserve"> </w:t>
      </w:r>
      <w:r w:rsidRPr="0048588F">
        <w:rPr>
          <w:rFonts w:ascii="Century Gothic" w:hAnsi="Century Gothic"/>
          <w:b/>
          <w:i/>
          <w:sz w:val="26"/>
          <w:szCs w:val="24"/>
          <w:u w:val="single"/>
        </w:rPr>
        <w:t>2011/HN/140.</w:t>
      </w:r>
    </w:p>
    <w:p w:rsidR="00B628D9" w:rsidRPr="00D20C15" w:rsidRDefault="00B628D9" w:rsidP="002438F1">
      <w:pPr>
        <w:pStyle w:val="NoSpacing"/>
        <w:jc w:val="both"/>
        <w:rPr>
          <w:rFonts w:ascii="Century Gothic" w:hAnsi="Century Gothic"/>
          <w:sz w:val="26"/>
          <w:szCs w:val="24"/>
        </w:rPr>
      </w:pPr>
    </w:p>
    <w:p w:rsidR="00B628D9" w:rsidRDefault="0085001F"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In the case cited by the </w:t>
      </w:r>
      <w:r w:rsidR="00B42696" w:rsidRPr="00D20C15">
        <w:rPr>
          <w:rFonts w:ascii="Century Gothic" w:hAnsi="Century Gothic"/>
          <w:sz w:val="26"/>
          <w:szCs w:val="24"/>
        </w:rPr>
        <w:t xml:space="preserve">Respondents, </w:t>
      </w:r>
      <w:r w:rsidR="00B42696" w:rsidRPr="00DF4BCB">
        <w:rPr>
          <w:rFonts w:ascii="Century Gothic" w:hAnsi="Century Gothic"/>
          <w:b/>
          <w:i/>
          <w:sz w:val="26"/>
          <w:szCs w:val="24"/>
          <w:u w:val="single"/>
        </w:rPr>
        <w:t xml:space="preserve">Development Bank </w:t>
      </w:r>
      <w:r w:rsidRPr="00DF4BCB">
        <w:rPr>
          <w:rFonts w:ascii="Century Gothic" w:hAnsi="Century Gothic"/>
          <w:b/>
          <w:i/>
          <w:sz w:val="26"/>
          <w:szCs w:val="24"/>
          <w:u w:val="single"/>
        </w:rPr>
        <w:t xml:space="preserve">of Zambia and </w:t>
      </w:r>
      <w:r w:rsidR="00DF4BCB" w:rsidRPr="00DF4BCB">
        <w:rPr>
          <w:rFonts w:ascii="Century Gothic" w:hAnsi="Century Gothic"/>
          <w:b/>
          <w:i/>
          <w:sz w:val="26"/>
          <w:szCs w:val="24"/>
          <w:u w:val="single"/>
        </w:rPr>
        <w:t>Anoth</w:t>
      </w:r>
      <w:r w:rsidRPr="00DF4BCB">
        <w:rPr>
          <w:rFonts w:ascii="Century Gothic" w:hAnsi="Century Gothic"/>
          <w:b/>
          <w:i/>
          <w:sz w:val="26"/>
          <w:szCs w:val="24"/>
          <w:u w:val="single"/>
        </w:rPr>
        <w:t xml:space="preserve">er v </w:t>
      </w:r>
      <w:r w:rsidR="00DF4BCB" w:rsidRPr="00DF4BCB">
        <w:rPr>
          <w:rFonts w:ascii="Century Gothic" w:hAnsi="Century Gothic"/>
          <w:b/>
          <w:i/>
          <w:sz w:val="26"/>
          <w:szCs w:val="24"/>
          <w:u w:val="single"/>
        </w:rPr>
        <w:t>Sunset and Another</w:t>
      </w:r>
      <w:r w:rsidR="00DF4BCB" w:rsidRPr="00DF4BCB">
        <w:rPr>
          <w:rFonts w:ascii="Century Gothic" w:hAnsi="Century Gothic"/>
          <w:b/>
          <w:i/>
          <w:sz w:val="26"/>
          <w:szCs w:val="24"/>
        </w:rPr>
        <w:t>;</w:t>
      </w:r>
      <w:r w:rsidRPr="00DF4BCB">
        <w:rPr>
          <w:rFonts w:ascii="Century Gothic" w:hAnsi="Century Gothic"/>
          <w:b/>
          <w:i/>
          <w:sz w:val="26"/>
          <w:szCs w:val="24"/>
        </w:rPr>
        <w:t xml:space="preserve"> </w:t>
      </w:r>
      <w:r w:rsidRPr="00D20C15">
        <w:rPr>
          <w:rFonts w:ascii="Century Gothic" w:hAnsi="Century Gothic"/>
          <w:sz w:val="26"/>
          <w:szCs w:val="24"/>
        </w:rPr>
        <w:t xml:space="preserve">the </w:t>
      </w:r>
      <w:r w:rsidR="00DF4BCB" w:rsidRPr="00D20C15">
        <w:rPr>
          <w:rFonts w:ascii="Century Gothic" w:hAnsi="Century Gothic"/>
          <w:sz w:val="26"/>
          <w:szCs w:val="24"/>
        </w:rPr>
        <w:t>Supreme Court</w:t>
      </w:r>
      <w:r w:rsidRPr="00D20C15">
        <w:rPr>
          <w:rFonts w:ascii="Century Gothic" w:hAnsi="Century Gothic"/>
          <w:sz w:val="26"/>
          <w:szCs w:val="24"/>
        </w:rPr>
        <w:t xml:space="preserve"> held that;</w:t>
      </w:r>
    </w:p>
    <w:p w:rsidR="00DF4BCB" w:rsidRPr="00D20C15" w:rsidRDefault="00DF4BCB" w:rsidP="002438F1">
      <w:pPr>
        <w:pStyle w:val="NoSpacing"/>
        <w:jc w:val="both"/>
        <w:rPr>
          <w:rFonts w:ascii="Century Gothic" w:hAnsi="Century Gothic"/>
          <w:sz w:val="26"/>
          <w:szCs w:val="24"/>
        </w:rPr>
      </w:pPr>
    </w:p>
    <w:p w:rsidR="0085001F" w:rsidRDefault="0085001F" w:rsidP="0085001F">
      <w:pPr>
        <w:pStyle w:val="NoSpacing"/>
        <w:spacing w:line="360" w:lineRule="auto"/>
        <w:ind w:left="720"/>
        <w:jc w:val="both"/>
        <w:rPr>
          <w:rFonts w:ascii="Century Gothic" w:hAnsi="Century Gothic"/>
          <w:b/>
          <w:i/>
          <w:sz w:val="26"/>
          <w:szCs w:val="24"/>
        </w:rPr>
      </w:pPr>
      <w:r w:rsidRPr="00D20C15">
        <w:rPr>
          <w:rFonts w:ascii="Century Gothic" w:hAnsi="Century Gothic"/>
          <w:b/>
          <w:i/>
          <w:sz w:val="26"/>
          <w:szCs w:val="24"/>
        </w:rPr>
        <w:t>“</w:t>
      </w:r>
      <w:r w:rsidR="00DF4BCB" w:rsidRPr="00D20C15">
        <w:rPr>
          <w:rFonts w:ascii="Century Gothic" w:hAnsi="Century Gothic"/>
          <w:b/>
          <w:i/>
          <w:sz w:val="26"/>
          <w:szCs w:val="24"/>
        </w:rPr>
        <w:t>W</w:t>
      </w:r>
      <w:r w:rsidRPr="00D20C15">
        <w:rPr>
          <w:rFonts w:ascii="Century Gothic" w:hAnsi="Century Gothic"/>
          <w:b/>
          <w:i/>
          <w:sz w:val="26"/>
          <w:szCs w:val="24"/>
        </w:rPr>
        <w:t xml:space="preserve">e disapprove of parties commencing a multiplicity of procedures and proceedings and indeed a multiplicity of actions over the same subject matter.” </w:t>
      </w:r>
    </w:p>
    <w:p w:rsidR="0025726A" w:rsidRPr="00D20C15" w:rsidRDefault="0025726A" w:rsidP="002438F1">
      <w:pPr>
        <w:pStyle w:val="NoSpacing"/>
        <w:ind w:left="720"/>
        <w:jc w:val="both"/>
        <w:rPr>
          <w:rFonts w:ascii="Century Gothic" w:hAnsi="Century Gothic"/>
          <w:b/>
          <w:i/>
          <w:sz w:val="26"/>
          <w:szCs w:val="24"/>
        </w:rPr>
      </w:pPr>
    </w:p>
    <w:p w:rsidR="00927A80" w:rsidRPr="00D20C15" w:rsidRDefault="002351CE"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This current action is for nullification of </w:t>
      </w:r>
      <w:r w:rsidR="005D4E74" w:rsidRPr="00D20C15">
        <w:rPr>
          <w:rFonts w:ascii="Century Gothic" w:hAnsi="Century Gothic"/>
          <w:sz w:val="26"/>
          <w:szCs w:val="24"/>
        </w:rPr>
        <w:t>Wi</w:t>
      </w:r>
      <w:r w:rsidRPr="00D20C15">
        <w:rPr>
          <w:rFonts w:ascii="Century Gothic" w:hAnsi="Century Gothic"/>
          <w:sz w:val="26"/>
          <w:szCs w:val="24"/>
        </w:rPr>
        <w:t xml:space="preserve">ll brought by some children of the deceased Austin </w:t>
      </w:r>
      <w:r w:rsidR="0025726A" w:rsidRPr="00D20C15">
        <w:rPr>
          <w:rFonts w:ascii="Century Gothic" w:hAnsi="Century Gothic"/>
          <w:sz w:val="26"/>
          <w:szCs w:val="24"/>
        </w:rPr>
        <w:t>Musubila Chibwe</w:t>
      </w:r>
      <w:r w:rsidRPr="00D20C15">
        <w:rPr>
          <w:rFonts w:ascii="Century Gothic" w:hAnsi="Century Gothic"/>
          <w:sz w:val="26"/>
          <w:szCs w:val="24"/>
        </w:rPr>
        <w:t xml:space="preserve">.  The action under cause No. </w:t>
      </w:r>
      <w:r w:rsidRPr="0025726A">
        <w:rPr>
          <w:rFonts w:ascii="Century Gothic" w:hAnsi="Century Gothic"/>
          <w:b/>
          <w:i/>
          <w:sz w:val="26"/>
          <w:szCs w:val="24"/>
          <w:u w:val="single"/>
        </w:rPr>
        <w:t>1994/HN/CA4</w:t>
      </w:r>
      <w:r w:rsidRPr="00D20C15">
        <w:rPr>
          <w:rFonts w:ascii="Century Gothic" w:hAnsi="Century Gothic"/>
          <w:sz w:val="26"/>
          <w:szCs w:val="24"/>
        </w:rPr>
        <w:t xml:space="preserve"> Ndola was by </w:t>
      </w:r>
      <w:r w:rsidR="0025726A" w:rsidRPr="00D20C15">
        <w:rPr>
          <w:rFonts w:ascii="Century Gothic" w:hAnsi="Century Gothic"/>
          <w:sz w:val="26"/>
          <w:szCs w:val="24"/>
        </w:rPr>
        <w:t xml:space="preserve">Rosemary Bwalya Chibwe </w:t>
      </w:r>
      <w:r w:rsidRPr="00D20C15">
        <w:rPr>
          <w:rFonts w:ascii="Century Gothic" w:hAnsi="Century Gothic"/>
          <w:sz w:val="26"/>
          <w:szCs w:val="24"/>
        </w:rPr>
        <w:t xml:space="preserve">against the late Austin Musubila Chibwe for property settlement and maintenance following the grant of divorce.  The matter went as far as the </w:t>
      </w:r>
      <w:r w:rsidR="0025726A" w:rsidRPr="00D20C15">
        <w:rPr>
          <w:rFonts w:ascii="Century Gothic" w:hAnsi="Century Gothic"/>
          <w:sz w:val="26"/>
          <w:szCs w:val="24"/>
        </w:rPr>
        <w:t>Supreme Cou</w:t>
      </w:r>
      <w:r w:rsidRPr="00D20C15">
        <w:rPr>
          <w:rFonts w:ascii="Century Gothic" w:hAnsi="Century Gothic"/>
          <w:sz w:val="26"/>
          <w:szCs w:val="24"/>
        </w:rPr>
        <w:t xml:space="preserve">rt where </w:t>
      </w:r>
      <w:r w:rsidR="0025726A" w:rsidRPr="00D20C15">
        <w:rPr>
          <w:rFonts w:ascii="Century Gothic" w:hAnsi="Century Gothic"/>
          <w:sz w:val="26"/>
          <w:szCs w:val="24"/>
        </w:rPr>
        <w:t>it was</w:t>
      </w:r>
      <w:r w:rsidR="005D4E74">
        <w:rPr>
          <w:rFonts w:ascii="Century Gothic" w:hAnsi="Century Gothic"/>
          <w:sz w:val="26"/>
          <w:szCs w:val="24"/>
        </w:rPr>
        <w:t xml:space="preserve"> referred</w:t>
      </w:r>
      <w:r w:rsidRPr="00D20C15">
        <w:rPr>
          <w:rFonts w:ascii="Century Gothic" w:hAnsi="Century Gothic"/>
          <w:sz w:val="26"/>
          <w:szCs w:val="24"/>
        </w:rPr>
        <w:t xml:space="preserve"> back to the High Court for </w:t>
      </w:r>
      <w:r w:rsidR="005D4E74">
        <w:rPr>
          <w:rFonts w:ascii="Century Gothic" w:hAnsi="Century Gothic"/>
          <w:sz w:val="26"/>
          <w:szCs w:val="24"/>
        </w:rPr>
        <w:t xml:space="preserve">the </w:t>
      </w:r>
      <w:r w:rsidRPr="00D20C15">
        <w:rPr>
          <w:rFonts w:ascii="Century Gothic" w:hAnsi="Century Gothic"/>
          <w:sz w:val="26"/>
          <w:szCs w:val="24"/>
        </w:rPr>
        <w:t xml:space="preserve">determination of </w:t>
      </w:r>
      <w:r w:rsidR="0025726A">
        <w:rPr>
          <w:rFonts w:ascii="Century Gothic" w:hAnsi="Century Gothic"/>
          <w:sz w:val="26"/>
          <w:szCs w:val="24"/>
        </w:rPr>
        <w:t xml:space="preserve">property adjustment.  </w:t>
      </w:r>
      <w:r w:rsidR="00B97A71" w:rsidRPr="00D20C15">
        <w:rPr>
          <w:rFonts w:ascii="Century Gothic" w:hAnsi="Century Gothic"/>
          <w:sz w:val="26"/>
          <w:szCs w:val="24"/>
        </w:rPr>
        <w:t xml:space="preserve">After the demise of Austin Musubila Chibwe, the Respondents </w:t>
      </w:r>
      <w:r w:rsidR="002076FF" w:rsidRPr="00D20C15">
        <w:rPr>
          <w:rFonts w:ascii="Century Gothic" w:hAnsi="Century Gothic"/>
          <w:sz w:val="26"/>
          <w:szCs w:val="24"/>
        </w:rPr>
        <w:t>were joined</w:t>
      </w:r>
      <w:r w:rsidR="00B97A71" w:rsidRPr="00D20C15">
        <w:rPr>
          <w:rFonts w:ascii="Century Gothic" w:hAnsi="Century Gothic"/>
          <w:sz w:val="26"/>
          <w:szCs w:val="24"/>
        </w:rPr>
        <w:t xml:space="preserve"> to the proceedings</w:t>
      </w:r>
      <w:r w:rsidR="00F3336E" w:rsidRPr="00D20C15">
        <w:rPr>
          <w:rFonts w:ascii="Century Gothic" w:hAnsi="Century Gothic"/>
          <w:sz w:val="26"/>
          <w:szCs w:val="24"/>
        </w:rPr>
        <w:t xml:space="preserve"> as executors of his </w:t>
      </w:r>
      <w:r w:rsidR="001E59E9" w:rsidRPr="00D20C15">
        <w:rPr>
          <w:rFonts w:ascii="Century Gothic" w:hAnsi="Century Gothic"/>
          <w:sz w:val="26"/>
          <w:szCs w:val="24"/>
        </w:rPr>
        <w:t>Wi</w:t>
      </w:r>
      <w:r w:rsidR="00F3336E" w:rsidRPr="00D20C15">
        <w:rPr>
          <w:rFonts w:ascii="Century Gothic" w:hAnsi="Century Gothic"/>
          <w:sz w:val="26"/>
          <w:szCs w:val="24"/>
        </w:rPr>
        <w:t xml:space="preserve">ll.  Rosemary Bwalya </w:t>
      </w:r>
      <w:r w:rsidR="002076FF" w:rsidRPr="00D20C15">
        <w:rPr>
          <w:rFonts w:ascii="Century Gothic" w:hAnsi="Century Gothic"/>
          <w:sz w:val="26"/>
          <w:szCs w:val="24"/>
        </w:rPr>
        <w:t xml:space="preserve">Chibwe </w:t>
      </w:r>
      <w:r w:rsidR="00F3336E" w:rsidRPr="00D20C15">
        <w:rPr>
          <w:rFonts w:ascii="Century Gothic" w:hAnsi="Century Gothic"/>
          <w:sz w:val="26"/>
          <w:szCs w:val="24"/>
        </w:rPr>
        <w:t xml:space="preserve">was then granted an injunction restraining the </w:t>
      </w:r>
      <w:r w:rsidR="00F3336E" w:rsidRPr="00D20C15">
        <w:rPr>
          <w:rFonts w:ascii="Century Gothic" w:hAnsi="Century Gothic"/>
          <w:sz w:val="26"/>
          <w:szCs w:val="24"/>
        </w:rPr>
        <w:lastRenderedPageBreak/>
        <w:t>Respondents as</w:t>
      </w:r>
      <w:r w:rsidR="002076FF">
        <w:rPr>
          <w:rFonts w:ascii="Century Gothic" w:hAnsi="Century Gothic"/>
          <w:sz w:val="26"/>
          <w:szCs w:val="24"/>
        </w:rPr>
        <w:t xml:space="preserve"> executors from executing th</w:t>
      </w:r>
      <w:r w:rsidR="00366FCC" w:rsidRPr="00D20C15">
        <w:rPr>
          <w:rFonts w:ascii="Century Gothic" w:hAnsi="Century Gothic"/>
          <w:sz w:val="26"/>
          <w:szCs w:val="24"/>
        </w:rPr>
        <w:t>e</w:t>
      </w:r>
      <w:r w:rsidR="002076FF">
        <w:rPr>
          <w:rFonts w:ascii="Century Gothic" w:hAnsi="Century Gothic"/>
          <w:sz w:val="26"/>
          <w:szCs w:val="24"/>
        </w:rPr>
        <w:t xml:space="preserve"> </w:t>
      </w:r>
      <w:r w:rsidR="001E59E9">
        <w:rPr>
          <w:rFonts w:ascii="Century Gothic" w:hAnsi="Century Gothic"/>
          <w:sz w:val="26"/>
          <w:szCs w:val="24"/>
        </w:rPr>
        <w:t>W</w:t>
      </w:r>
      <w:r w:rsidR="002076FF">
        <w:rPr>
          <w:rFonts w:ascii="Century Gothic" w:hAnsi="Century Gothic"/>
          <w:sz w:val="26"/>
          <w:szCs w:val="24"/>
        </w:rPr>
        <w:t>ill pending the determination of the property</w:t>
      </w:r>
      <w:r w:rsidR="00366FCC" w:rsidRPr="00D20C15">
        <w:rPr>
          <w:rFonts w:ascii="Century Gothic" w:hAnsi="Century Gothic"/>
          <w:sz w:val="26"/>
          <w:szCs w:val="24"/>
        </w:rPr>
        <w:t xml:space="preserve"> adjustment assessment.</w:t>
      </w:r>
    </w:p>
    <w:p w:rsidR="00366FCC" w:rsidRPr="00D20C15" w:rsidRDefault="00366FCC" w:rsidP="002438F1">
      <w:pPr>
        <w:pStyle w:val="NoSpacing"/>
        <w:jc w:val="both"/>
        <w:rPr>
          <w:rFonts w:ascii="Century Gothic" w:hAnsi="Century Gothic"/>
          <w:sz w:val="26"/>
          <w:szCs w:val="24"/>
        </w:rPr>
      </w:pPr>
    </w:p>
    <w:p w:rsidR="005C0DD9" w:rsidRPr="00D20C15" w:rsidRDefault="005C0DD9"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The action under cause No. </w:t>
      </w:r>
      <w:r w:rsidRPr="00D815B0">
        <w:rPr>
          <w:rFonts w:ascii="Century Gothic" w:hAnsi="Century Gothic"/>
          <w:b/>
          <w:i/>
          <w:sz w:val="26"/>
          <w:szCs w:val="24"/>
          <w:u w:val="single"/>
        </w:rPr>
        <w:t>201</w:t>
      </w:r>
      <w:r w:rsidR="00D815B0" w:rsidRPr="00D815B0">
        <w:rPr>
          <w:rFonts w:ascii="Century Gothic" w:hAnsi="Century Gothic"/>
          <w:b/>
          <w:i/>
          <w:sz w:val="26"/>
          <w:szCs w:val="24"/>
          <w:u w:val="single"/>
        </w:rPr>
        <w:t>1</w:t>
      </w:r>
      <w:r w:rsidRPr="00D815B0">
        <w:rPr>
          <w:rFonts w:ascii="Century Gothic" w:hAnsi="Century Gothic"/>
          <w:b/>
          <w:i/>
          <w:sz w:val="26"/>
          <w:szCs w:val="24"/>
          <w:u w:val="single"/>
        </w:rPr>
        <w:t>/HP/140</w:t>
      </w:r>
      <w:r w:rsidRPr="00D20C15">
        <w:rPr>
          <w:rFonts w:ascii="Century Gothic" w:hAnsi="Century Gothic"/>
          <w:sz w:val="26"/>
          <w:szCs w:val="24"/>
        </w:rPr>
        <w:t xml:space="preserve"> is not clear as the originating process was not exhibited.  What was exhibited was an ex-parte injunction taken out by AMC </w:t>
      </w:r>
      <w:r w:rsidR="00F52FF7" w:rsidRPr="00D20C15">
        <w:rPr>
          <w:rFonts w:ascii="Century Gothic" w:hAnsi="Century Gothic"/>
          <w:sz w:val="26"/>
          <w:szCs w:val="24"/>
        </w:rPr>
        <w:t>Contractors Limited</w:t>
      </w:r>
      <w:r w:rsidRPr="00D20C15">
        <w:rPr>
          <w:rFonts w:ascii="Century Gothic" w:hAnsi="Century Gothic"/>
          <w:sz w:val="26"/>
          <w:szCs w:val="24"/>
        </w:rPr>
        <w:t xml:space="preserve">, the company in which the deceased </w:t>
      </w:r>
      <w:r w:rsidR="00D815B0" w:rsidRPr="00D20C15">
        <w:rPr>
          <w:rFonts w:ascii="Century Gothic" w:hAnsi="Century Gothic"/>
          <w:sz w:val="26"/>
          <w:szCs w:val="24"/>
        </w:rPr>
        <w:t xml:space="preserve">Austin Musubila Chibwe </w:t>
      </w:r>
      <w:r w:rsidRPr="00D20C15">
        <w:rPr>
          <w:rFonts w:ascii="Century Gothic" w:hAnsi="Century Gothic"/>
          <w:sz w:val="26"/>
          <w:szCs w:val="24"/>
        </w:rPr>
        <w:t>had majority shares, restrain</w:t>
      </w:r>
      <w:r w:rsidR="00D815B0">
        <w:rPr>
          <w:rFonts w:ascii="Century Gothic" w:hAnsi="Century Gothic"/>
          <w:sz w:val="26"/>
          <w:szCs w:val="24"/>
        </w:rPr>
        <w:t>in</w:t>
      </w:r>
      <w:r w:rsidRPr="00D20C15">
        <w:rPr>
          <w:rFonts w:ascii="Century Gothic" w:hAnsi="Century Gothic"/>
          <w:sz w:val="26"/>
          <w:szCs w:val="24"/>
        </w:rPr>
        <w:t xml:space="preserve">g </w:t>
      </w:r>
      <w:r w:rsidR="00D815B0" w:rsidRPr="00D20C15">
        <w:rPr>
          <w:rFonts w:ascii="Century Gothic" w:hAnsi="Century Gothic"/>
          <w:sz w:val="26"/>
          <w:szCs w:val="24"/>
        </w:rPr>
        <w:t>Rosemary Bwalya Chisenga (Chibwe</w:t>
      </w:r>
      <w:r w:rsidRPr="00D20C15">
        <w:rPr>
          <w:rFonts w:ascii="Century Gothic" w:hAnsi="Century Gothic"/>
          <w:sz w:val="26"/>
          <w:szCs w:val="24"/>
        </w:rPr>
        <w:t xml:space="preserve">) from trespassing on plot no. 1081 Buntungwa </w:t>
      </w:r>
      <w:r w:rsidR="000342F7" w:rsidRPr="00D20C15">
        <w:rPr>
          <w:rFonts w:ascii="Century Gothic" w:hAnsi="Century Gothic"/>
          <w:sz w:val="26"/>
          <w:szCs w:val="24"/>
        </w:rPr>
        <w:t>Street Mufulira</w:t>
      </w:r>
      <w:r w:rsidRPr="00D20C15">
        <w:rPr>
          <w:rFonts w:ascii="Century Gothic" w:hAnsi="Century Gothic"/>
          <w:sz w:val="26"/>
          <w:szCs w:val="24"/>
        </w:rPr>
        <w:t xml:space="preserve">.  As submitted by the </w:t>
      </w:r>
      <w:r w:rsidR="002B7D70" w:rsidRPr="00D20C15">
        <w:rPr>
          <w:rFonts w:ascii="Century Gothic" w:hAnsi="Century Gothic"/>
          <w:sz w:val="26"/>
          <w:szCs w:val="24"/>
        </w:rPr>
        <w:t>Applicant</w:t>
      </w:r>
      <w:r w:rsidR="002B7D70">
        <w:rPr>
          <w:rFonts w:ascii="Century Gothic" w:hAnsi="Century Gothic"/>
          <w:sz w:val="26"/>
          <w:szCs w:val="24"/>
        </w:rPr>
        <w:t xml:space="preserve">s, </w:t>
      </w:r>
      <w:r w:rsidRPr="00D20C15">
        <w:rPr>
          <w:rFonts w:ascii="Century Gothic" w:hAnsi="Century Gothic"/>
          <w:sz w:val="26"/>
          <w:szCs w:val="24"/>
        </w:rPr>
        <w:t xml:space="preserve">I find that the parties in this </w:t>
      </w:r>
      <w:r w:rsidR="00CD3BB1">
        <w:rPr>
          <w:rFonts w:ascii="Century Gothic" w:hAnsi="Century Gothic"/>
          <w:sz w:val="26"/>
          <w:szCs w:val="24"/>
        </w:rPr>
        <w:t>Ndol</w:t>
      </w:r>
      <w:r w:rsidR="0092474B">
        <w:rPr>
          <w:rFonts w:ascii="Century Gothic" w:hAnsi="Century Gothic"/>
          <w:sz w:val="26"/>
          <w:szCs w:val="24"/>
        </w:rPr>
        <w:t xml:space="preserve">a </w:t>
      </w:r>
      <w:r w:rsidRPr="00D20C15">
        <w:rPr>
          <w:rFonts w:ascii="Century Gothic" w:hAnsi="Century Gothic"/>
          <w:sz w:val="26"/>
          <w:szCs w:val="24"/>
        </w:rPr>
        <w:t>case are totally different in that neither the Applicants nor Respondents are parties.</w:t>
      </w:r>
    </w:p>
    <w:p w:rsidR="005C0DD9" w:rsidRPr="00D20C15" w:rsidRDefault="005C0DD9" w:rsidP="002438F1">
      <w:pPr>
        <w:pStyle w:val="NoSpacing"/>
        <w:jc w:val="both"/>
        <w:rPr>
          <w:rFonts w:ascii="Century Gothic" w:hAnsi="Century Gothic"/>
          <w:sz w:val="26"/>
          <w:szCs w:val="24"/>
        </w:rPr>
      </w:pPr>
    </w:p>
    <w:p w:rsidR="005C0DD9" w:rsidRDefault="005C0DD9"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It is </w:t>
      </w:r>
      <w:r w:rsidR="00D114D4">
        <w:rPr>
          <w:rFonts w:ascii="Century Gothic" w:hAnsi="Century Gothic"/>
          <w:sz w:val="26"/>
          <w:szCs w:val="24"/>
        </w:rPr>
        <w:t>hence</w:t>
      </w:r>
      <w:r w:rsidRPr="00D20C15">
        <w:rPr>
          <w:rFonts w:ascii="Century Gothic" w:hAnsi="Century Gothic"/>
          <w:sz w:val="26"/>
          <w:szCs w:val="24"/>
        </w:rPr>
        <w:t xml:space="preserve"> apparent that these actions are for </w:t>
      </w:r>
      <w:r w:rsidR="004F3BA2" w:rsidRPr="00D20C15">
        <w:rPr>
          <w:rFonts w:ascii="Century Gothic" w:hAnsi="Century Gothic"/>
          <w:sz w:val="26"/>
          <w:szCs w:val="24"/>
        </w:rPr>
        <w:t>specific subject</w:t>
      </w:r>
      <w:r w:rsidRPr="00D20C15">
        <w:rPr>
          <w:rFonts w:ascii="Century Gothic" w:hAnsi="Century Gothic"/>
          <w:sz w:val="26"/>
          <w:szCs w:val="24"/>
        </w:rPr>
        <w:t xml:space="preserve"> matter and involve Rosemary </w:t>
      </w:r>
      <w:r w:rsidR="004F3BA2" w:rsidRPr="00D20C15">
        <w:rPr>
          <w:rFonts w:ascii="Century Gothic" w:hAnsi="Century Gothic"/>
          <w:sz w:val="26"/>
          <w:szCs w:val="24"/>
        </w:rPr>
        <w:t xml:space="preserve">Bwalya Chibwe  </w:t>
      </w:r>
      <w:r w:rsidRPr="00D20C15">
        <w:rPr>
          <w:rFonts w:ascii="Century Gothic" w:hAnsi="Century Gothic"/>
          <w:sz w:val="26"/>
          <w:szCs w:val="24"/>
        </w:rPr>
        <w:t xml:space="preserve">by virtue of the fact that her case for property adjustment or settlement against the estate of the late Austin Musubila </w:t>
      </w:r>
      <w:r w:rsidR="004F3BA2" w:rsidRPr="00D20C15">
        <w:rPr>
          <w:rFonts w:ascii="Century Gothic" w:hAnsi="Century Gothic"/>
          <w:sz w:val="26"/>
          <w:szCs w:val="24"/>
        </w:rPr>
        <w:t xml:space="preserve">Chibwe </w:t>
      </w:r>
      <w:r w:rsidRPr="00D20C15">
        <w:rPr>
          <w:rFonts w:ascii="Century Gothic" w:hAnsi="Century Gothic"/>
          <w:sz w:val="26"/>
          <w:szCs w:val="24"/>
        </w:rPr>
        <w:t>is yet to be concluded.  This cannot be stretched to cover the dist</w:t>
      </w:r>
      <w:r w:rsidR="00D114D4">
        <w:rPr>
          <w:rFonts w:ascii="Century Gothic" w:hAnsi="Century Gothic"/>
          <w:sz w:val="26"/>
          <w:szCs w:val="24"/>
        </w:rPr>
        <w:t>in</w:t>
      </w:r>
      <w:r w:rsidRPr="00D20C15">
        <w:rPr>
          <w:rFonts w:ascii="Century Gothic" w:hAnsi="Century Gothic"/>
          <w:sz w:val="26"/>
          <w:szCs w:val="24"/>
        </w:rPr>
        <w:t xml:space="preserve">ct application by the </w:t>
      </w:r>
      <w:r w:rsidR="00D114D4" w:rsidRPr="00D20C15">
        <w:rPr>
          <w:rFonts w:ascii="Century Gothic" w:hAnsi="Century Gothic"/>
          <w:sz w:val="26"/>
          <w:szCs w:val="24"/>
        </w:rPr>
        <w:t>Applicants as</w:t>
      </w:r>
      <w:r w:rsidRPr="00D20C15">
        <w:rPr>
          <w:rFonts w:ascii="Century Gothic" w:hAnsi="Century Gothic"/>
          <w:sz w:val="26"/>
          <w:szCs w:val="24"/>
        </w:rPr>
        <w:t xml:space="preserve"> interest</w:t>
      </w:r>
      <w:r w:rsidR="00D114D4">
        <w:rPr>
          <w:rFonts w:ascii="Century Gothic" w:hAnsi="Century Gothic"/>
          <w:sz w:val="26"/>
          <w:szCs w:val="24"/>
        </w:rPr>
        <w:t>ed</w:t>
      </w:r>
      <w:r w:rsidRPr="00D20C15">
        <w:rPr>
          <w:rFonts w:ascii="Century Gothic" w:hAnsi="Century Gothic"/>
          <w:sz w:val="26"/>
          <w:szCs w:val="24"/>
        </w:rPr>
        <w:t xml:space="preserve"> beneficiaries of the estate of the late Austin Musubila </w:t>
      </w:r>
      <w:r w:rsidR="00CC64A9" w:rsidRPr="00D20C15">
        <w:rPr>
          <w:rFonts w:ascii="Century Gothic" w:hAnsi="Century Gothic"/>
          <w:sz w:val="26"/>
          <w:szCs w:val="24"/>
        </w:rPr>
        <w:t xml:space="preserve">Chibwe </w:t>
      </w:r>
      <w:r w:rsidRPr="00D20C15">
        <w:rPr>
          <w:rFonts w:ascii="Century Gothic" w:hAnsi="Century Gothic"/>
          <w:sz w:val="26"/>
          <w:szCs w:val="24"/>
        </w:rPr>
        <w:t xml:space="preserve">for nullification of the </w:t>
      </w:r>
      <w:r w:rsidR="00CC64A9" w:rsidRPr="00D20C15">
        <w:rPr>
          <w:rFonts w:ascii="Century Gothic" w:hAnsi="Century Gothic"/>
          <w:sz w:val="26"/>
          <w:szCs w:val="24"/>
        </w:rPr>
        <w:t>Wi</w:t>
      </w:r>
      <w:r w:rsidRPr="00D20C15">
        <w:rPr>
          <w:rFonts w:ascii="Century Gothic" w:hAnsi="Century Gothic"/>
          <w:sz w:val="26"/>
          <w:szCs w:val="24"/>
        </w:rPr>
        <w:t xml:space="preserve">ll.  The Applicants are not part of the actions involving Rosemary Bwalya </w:t>
      </w:r>
      <w:r w:rsidR="004F3BA2" w:rsidRPr="00D20C15">
        <w:rPr>
          <w:rFonts w:ascii="Century Gothic" w:hAnsi="Century Gothic"/>
          <w:sz w:val="26"/>
          <w:szCs w:val="24"/>
        </w:rPr>
        <w:t>Chibw</w:t>
      </w:r>
      <w:r w:rsidRPr="00D20C15">
        <w:rPr>
          <w:rFonts w:ascii="Century Gothic" w:hAnsi="Century Gothic"/>
          <w:sz w:val="26"/>
          <w:szCs w:val="24"/>
        </w:rPr>
        <w:t xml:space="preserve">e and their status </w:t>
      </w:r>
      <w:r w:rsidR="00CC64A9">
        <w:rPr>
          <w:rFonts w:ascii="Century Gothic" w:hAnsi="Century Gothic"/>
          <w:sz w:val="26"/>
          <w:szCs w:val="24"/>
        </w:rPr>
        <w:t xml:space="preserve">and </w:t>
      </w:r>
      <w:r w:rsidRPr="00D20C15">
        <w:rPr>
          <w:rFonts w:ascii="Century Gothic" w:hAnsi="Century Gothic"/>
          <w:sz w:val="26"/>
          <w:szCs w:val="24"/>
        </w:rPr>
        <w:t xml:space="preserve">interest </w:t>
      </w:r>
      <w:r w:rsidR="004F3BA2" w:rsidRPr="00D20C15">
        <w:rPr>
          <w:rFonts w:ascii="Century Gothic" w:hAnsi="Century Gothic"/>
          <w:sz w:val="26"/>
          <w:szCs w:val="24"/>
        </w:rPr>
        <w:t>is different</w:t>
      </w:r>
      <w:r w:rsidRPr="00D20C15">
        <w:rPr>
          <w:rFonts w:ascii="Century Gothic" w:hAnsi="Century Gothic"/>
          <w:sz w:val="26"/>
          <w:szCs w:val="24"/>
        </w:rPr>
        <w:t xml:space="preserve"> with regard to the deceased</w:t>
      </w:r>
      <w:r w:rsidR="00CC64A9">
        <w:rPr>
          <w:rFonts w:ascii="Century Gothic" w:hAnsi="Century Gothic"/>
          <w:sz w:val="26"/>
          <w:szCs w:val="24"/>
        </w:rPr>
        <w:t>’s</w:t>
      </w:r>
      <w:r w:rsidRPr="00D20C15">
        <w:rPr>
          <w:rFonts w:ascii="Century Gothic" w:hAnsi="Century Gothic"/>
          <w:sz w:val="26"/>
          <w:szCs w:val="24"/>
        </w:rPr>
        <w:t xml:space="preserve"> estate</w:t>
      </w:r>
      <w:r w:rsidR="00290FFB" w:rsidRPr="00D20C15">
        <w:rPr>
          <w:rFonts w:ascii="Century Gothic" w:hAnsi="Century Gothic"/>
          <w:sz w:val="26"/>
          <w:szCs w:val="24"/>
        </w:rPr>
        <w:t>.</w:t>
      </w:r>
    </w:p>
    <w:p w:rsidR="004F3BA2" w:rsidRPr="00D20C15" w:rsidRDefault="004F3BA2" w:rsidP="002438F1">
      <w:pPr>
        <w:pStyle w:val="NoSpacing"/>
        <w:jc w:val="both"/>
        <w:rPr>
          <w:rFonts w:ascii="Century Gothic" w:hAnsi="Century Gothic"/>
          <w:sz w:val="26"/>
          <w:szCs w:val="24"/>
        </w:rPr>
      </w:pPr>
    </w:p>
    <w:p w:rsidR="00290FFB" w:rsidRPr="00D20C15" w:rsidRDefault="00290FFB"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I thus find </w:t>
      </w:r>
      <w:r w:rsidR="00594A5B" w:rsidRPr="00D20C15">
        <w:rPr>
          <w:rFonts w:ascii="Century Gothic" w:hAnsi="Century Gothic"/>
          <w:sz w:val="26"/>
          <w:szCs w:val="24"/>
        </w:rPr>
        <w:t xml:space="preserve">that the current action does not amount to multiplicity </w:t>
      </w:r>
      <w:r w:rsidR="00CC64A9">
        <w:rPr>
          <w:rFonts w:ascii="Century Gothic" w:hAnsi="Century Gothic"/>
          <w:sz w:val="26"/>
          <w:szCs w:val="24"/>
        </w:rPr>
        <w:t>or d</w:t>
      </w:r>
      <w:r w:rsidR="005852F1">
        <w:rPr>
          <w:rFonts w:ascii="Century Gothic" w:hAnsi="Century Gothic"/>
          <w:sz w:val="26"/>
          <w:szCs w:val="24"/>
        </w:rPr>
        <w:t xml:space="preserve">uplicity </w:t>
      </w:r>
      <w:r w:rsidR="00594A5B" w:rsidRPr="00D20C15">
        <w:rPr>
          <w:rFonts w:ascii="Century Gothic" w:hAnsi="Century Gothic"/>
          <w:sz w:val="26"/>
          <w:szCs w:val="24"/>
        </w:rPr>
        <w:t>of action</w:t>
      </w:r>
      <w:r w:rsidR="009C3F9D">
        <w:rPr>
          <w:rFonts w:ascii="Century Gothic" w:hAnsi="Century Gothic"/>
          <w:sz w:val="26"/>
          <w:szCs w:val="24"/>
        </w:rPr>
        <w:t>s</w:t>
      </w:r>
      <w:r w:rsidR="00594A5B" w:rsidRPr="00D20C15">
        <w:rPr>
          <w:rFonts w:ascii="Century Gothic" w:hAnsi="Century Gothic"/>
          <w:sz w:val="26"/>
          <w:szCs w:val="24"/>
        </w:rPr>
        <w:t xml:space="preserve">.  The two </w:t>
      </w:r>
      <w:r w:rsidR="009C3F9D" w:rsidRPr="00D20C15">
        <w:rPr>
          <w:rFonts w:ascii="Century Gothic" w:hAnsi="Century Gothic"/>
          <w:sz w:val="26"/>
          <w:szCs w:val="24"/>
        </w:rPr>
        <w:t>Ndol</w:t>
      </w:r>
      <w:r w:rsidR="00594A5B" w:rsidRPr="00D20C15">
        <w:rPr>
          <w:rFonts w:ascii="Century Gothic" w:hAnsi="Century Gothic"/>
          <w:sz w:val="26"/>
          <w:szCs w:val="24"/>
        </w:rPr>
        <w:t xml:space="preserve">a actions are not </w:t>
      </w:r>
      <w:r w:rsidR="00080721">
        <w:rPr>
          <w:rFonts w:ascii="Century Gothic" w:hAnsi="Century Gothic"/>
          <w:sz w:val="26"/>
          <w:szCs w:val="24"/>
        </w:rPr>
        <w:t xml:space="preserve">challenging </w:t>
      </w:r>
      <w:r w:rsidR="00594A5B" w:rsidRPr="00D20C15">
        <w:rPr>
          <w:rFonts w:ascii="Century Gothic" w:hAnsi="Century Gothic"/>
          <w:sz w:val="26"/>
          <w:szCs w:val="24"/>
        </w:rPr>
        <w:t xml:space="preserve">the validity of the of the </w:t>
      </w:r>
      <w:r w:rsidR="00080721" w:rsidRPr="00D20C15">
        <w:rPr>
          <w:rFonts w:ascii="Century Gothic" w:hAnsi="Century Gothic"/>
          <w:sz w:val="26"/>
          <w:szCs w:val="24"/>
        </w:rPr>
        <w:t>Wi</w:t>
      </w:r>
      <w:r w:rsidR="00594A5B" w:rsidRPr="00D20C15">
        <w:rPr>
          <w:rFonts w:ascii="Century Gothic" w:hAnsi="Century Gothic"/>
          <w:sz w:val="26"/>
          <w:szCs w:val="24"/>
        </w:rPr>
        <w:t xml:space="preserve">ll and their </w:t>
      </w:r>
      <w:r w:rsidR="002D0F27" w:rsidRPr="00D20C15">
        <w:rPr>
          <w:rFonts w:ascii="Century Gothic" w:hAnsi="Century Gothic"/>
          <w:sz w:val="26"/>
          <w:szCs w:val="24"/>
        </w:rPr>
        <w:t xml:space="preserve"> reference to the </w:t>
      </w:r>
      <w:r w:rsidR="00080721" w:rsidRPr="00D20C15">
        <w:rPr>
          <w:rFonts w:ascii="Century Gothic" w:hAnsi="Century Gothic"/>
          <w:sz w:val="26"/>
          <w:szCs w:val="24"/>
        </w:rPr>
        <w:t>Wil</w:t>
      </w:r>
      <w:r w:rsidR="002D0F27" w:rsidRPr="00D20C15">
        <w:rPr>
          <w:rFonts w:ascii="Century Gothic" w:hAnsi="Century Gothic"/>
          <w:sz w:val="26"/>
          <w:szCs w:val="24"/>
        </w:rPr>
        <w:t xml:space="preserve">l is only to ensure that the prior right of </w:t>
      </w:r>
      <w:r w:rsidR="00901055" w:rsidRPr="00D20C15">
        <w:rPr>
          <w:rFonts w:ascii="Century Gothic" w:hAnsi="Century Gothic"/>
          <w:sz w:val="26"/>
          <w:szCs w:val="24"/>
        </w:rPr>
        <w:t xml:space="preserve">Rosemary Bwalya Chibwe </w:t>
      </w:r>
      <w:r w:rsidR="002D0F27" w:rsidRPr="00D20C15">
        <w:rPr>
          <w:rFonts w:ascii="Century Gothic" w:hAnsi="Century Gothic"/>
          <w:sz w:val="26"/>
          <w:szCs w:val="24"/>
        </w:rPr>
        <w:t xml:space="preserve">to property settlement or adjustment as ordered by the </w:t>
      </w:r>
      <w:r w:rsidR="00901055" w:rsidRPr="00D20C15">
        <w:rPr>
          <w:rFonts w:ascii="Century Gothic" w:hAnsi="Century Gothic"/>
          <w:sz w:val="26"/>
          <w:szCs w:val="24"/>
        </w:rPr>
        <w:t xml:space="preserve">Supreme Court </w:t>
      </w:r>
      <w:r w:rsidR="002D0F27" w:rsidRPr="00D20C15">
        <w:rPr>
          <w:rFonts w:ascii="Century Gothic" w:hAnsi="Century Gothic"/>
          <w:sz w:val="26"/>
          <w:szCs w:val="24"/>
        </w:rPr>
        <w:t xml:space="preserve">is effected.  This is not dependant on the  sought decision on  validity or otherwise of the </w:t>
      </w:r>
      <w:r w:rsidR="00080721" w:rsidRPr="00D20C15">
        <w:rPr>
          <w:rFonts w:ascii="Century Gothic" w:hAnsi="Century Gothic"/>
          <w:sz w:val="26"/>
          <w:szCs w:val="24"/>
        </w:rPr>
        <w:t>W</w:t>
      </w:r>
      <w:r w:rsidR="002D0F27" w:rsidRPr="00D20C15">
        <w:rPr>
          <w:rFonts w:ascii="Century Gothic" w:hAnsi="Century Gothic"/>
          <w:sz w:val="26"/>
          <w:szCs w:val="24"/>
        </w:rPr>
        <w:t xml:space="preserve">ill.  </w:t>
      </w:r>
      <w:r w:rsidR="002D0F27" w:rsidRPr="00D20C15">
        <w:rPr>
          <w:rFonts w:ascii="Century Gothic" w:hAnsi="Century Gothic"/>
          <w:sz w:val="26"/>
          <w:szCs w:val="24"/>
        </w:rPr>
        <w:lastRenderedPageBreak/>
        <w:t>The  fea</w:t>
      </w:r>
      <w:r w:rsidR="00901055">
        <w:rPr>
          <w:rFonts w:ascii="Century Gothic" w:hAnsi="Century Gothic"/>
          <w:sz w:val="26"/>
          <w:szCs w:val="24"/>
        </w:rPr>
        <w:t>r</w:t>
      </w:r>
      <w:r w:rsidR="002D0F27" w:rsidRPr="00D20C15">
        <w:rPr>
          <w:rFonts w:ascii="Century Gothic" w:hAnsi="Century Gothic"/>
          <w:sz w:val="26"/>
          <w:szCs w:val="24"/>
        </w:rPr>
        <w:t xml:space="preserve"> that there might be conflicting </w:t>
      </w:r>
      <w:r w:rsidR="00080721">
        <w:rPr>
          <w:rFonts w:ascii="Century Gothic" w:hAnsi="Century Gothic"/>
          <w:sz w:val="26"/>
          <w:szCs w:val="24"/>
        </w:rPr>
        <w:t>decisions</w:t>
      </w:r>
      <w:r w:rsidR="002D0F27" w:rsidRPr="00D20C15">
        <w:rPr>
          <w:rFonts w:ascii="Century Gothic" w:hAnsi="Century Gothic"/>
          <w:sz w:val="26"/>
          <w:szCs w:val="24"/>
        </w:rPr>
        <w:t xml:space="preserve"> by the courts does not therefore arise.</w:t>
      </w:r>
    </w:p>
    <w:p w:rsidR="002D0F27" w:rsidRPr="00D20C15" w:rsidRDefault="002D0F27" w:rsidP="002438F1">
      <w:pPr>
        <w:pStyle w:val="NoSpacing"/>
        <w:jc w:val="both"/>
        <w:rPr>
          <w:rFonts w:ascii="Century Gothic" w:hAnsi="Century Gothic"/>
          <w:sz w:val="26"/>
          <w:szCs w:val="24"/>
        </w:rPr>
      </w:pPr>
    </w:p>
    <w:p w:rsidR="00A12AB7" w:rsidRDefault="002D0F27"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This first preliminary issue accordingly fails.  </w:t>
      </w:r>
    </w:p>
    <w:p w:rsidR="00A12AB7" w:rsidRDefault="00A12AB7" w:rsidP="002438F1">
      <w:pPr>
        <w:pStyle w:val="NoSpacing"/>
        <w:jc w:val="both"/>
        <w:rPr>
          <w:rFonts w:ascii="Century Gothic" w:hAnsi="Century Gothic"/>
          <w:sz w:val="26"/>
          <w:szCs w:val="24"/>
        </w:rPr>
      </w:pPr>
    </w:p>
    <w:p w:rsidR="002D0F27" w:rsidRPr="00D20C15" w:rsidRDefault="002D0F27"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The second preliminary was that the application by the </w:t>
      </w:r>
      <w:r w:rsidR="00A12AB7" w:rsidRPr="00D20C15">
        <w:rPr>
          <w:rFonts w:ascii="Century Gothic" w:hAnsi="Century Gothic"/>
          <w:sz w:val="26"/>
          <w:szCs w:val="24"/>
        </w:rPr>
        <w:t>Appl</w:t>
      </w:r>
      <w:r w:rsidRPr="00D20C15">
        <w:rPr>
          <w:rFonts w:ascii="Century Gothic" w:hAnsi="Century Gothic"/>
          <w:sz w:val="26"/>
          <w:szCs w:val="24"/>
        </w:rPr>
        <w:t xml:space="preserve">icants be dismissed for being statute barred.  It was submitted that by virtue </w:t>
      </w:r>
      <w:r w:rsidR="00080721">
        <w:rPr>
          <w:rFonts w:ascii="Century Gothic" w:hAnsi="Century Gothic"/>
          <w:sz w:val="26"/>
          <w:szCs w:val="24"/>
        </w:rPr>
        <w:t>o</w:t>
      </w:r>
      <w:r w:rsidRPr="00D20C15">
        <w:rPr>
          <w:rFonts w:ascii="Century Gothic" w:hAnsi="Century Gothic"/>
          <w:sz w:val="26"/>
          <w:szCs w:val="24"/>
        </w:rPr>
        <w:t xml:space="preserve">f paragraph 17 of the affidavit in support of </w:t>
      </w:r>
      <w:r w:rsidR="00080721" w:rsidRPr="00D20C15">
        <w:rPr>
          <w:rFonts w:ascii="Century Gothic" w:hAnsi="Century Gothic"/>
          <w:sz w:val="26"/>
          <w:szCs w:val="24"/>
        </w:rPr>
        <w:t>Originating Summons</w:t>
      </w:r>
      <w:r w:rsidRPr="00D20C15">
        <w:rPr>
          <w:rFonts w:ascii="Century Gothic" w:hAnsi="Century Gothic"/>
          <w:sz w:val="26"/>
          <w:szCs w:val="24"/>
        </w:rPr>
        <w:t xml:space="preserve">, which stated that the Applicants as children of the deceased born within wedlock were left out of the </w:t>
      </w:r>
      <w:r w:rsidR="00080721" w:rsidRPr="00D20C15">
        <w:rPr>
          <w:rFonts w:ascii="Century Gothic" w:hAnsi="Century Gothic"/>
          <w:sz w:val="26"/>
          <w:szCs w:val="24"/>
        </w:rPr>
        <w:t>Will</w:t>
      </w:r>
      <w:r w:rsidRPr="00D20C15">
        <w:rPr>
          <w:rFonts w:ascii="Century Gothic" w:hAnsi="Century Gothic"/>
          <w:sz w:val="26"/>
          <w:szCs w:val="24"/>
        </w:rPr>
        <w:t xml:space="preserve">, the understanding was that the Applicants were raising the issue of unreasonable provision on the </w:t>
      </w:r>
      <w:r w:rsidR="00080721" w:rsidRPr="00D20C15">
        <w:rPr>
          <w:rFonts w:ascii="Century Gothic" w:hAnsi="Century Gothic"/>
          <w:sz w:val="26"/>
          <w:szCs w:val="24"/>
        </w:rPr>
        <w:t>Wi</w:t>
      </w:r>
      <w:r w:rsidRPr="00D20C15">
        <w:rPr>
          <w:rFonts w:ascii="Century Gothic" w:hAnsi="Century Gothic"/>
          <w:sz w:val="26"/>
          <w:szCs w:val="24"/>
        </w:rPr>
        <w:t>ll.  Therefore, by v</w:t>
      </w:r>
      <w:r w:rsidR="00A12AB7">
        <w:rPr>
          <w:rFonts w:ascii="Century Gothic" w:hAnsi="Century Gothic"/>
          <w:sz w:val="26"/>
          <w:szCs w:val="24"/>
        </w:rPr>
        <w:t>i</w:t>
      </w:r>
      <w:r w:rsidRPr="00D20C15">
        <w:rPr>
          <w:rFonts w:ascii="Century Gothic" w:hAnsi="Century Gothic"/>
          <w:sz w:val="26"/>
          <w:szCs w:val="24"/>
        </w:rPr>
        <w:t xml:space="preserve">rtue of section 22 </w:t>
      </w:r>
      <w:r w:rsidR="00A12AB7">
        <w:rPr>
          <w:rFonts w:ascii="Century Gothic" w:hAnsi="Century Gothic"/>
          <w:sz w:val="26"/>
          <w:szCs w:val="24"/>
        </w:rPr>
        <w:t>(</w:t>
      </w:r>
      <w:r w:rsidRPr="00D20C15">
        <w:rPr>
          <w:rFonts w:ascii="Century Gothic" w:hAnsi="Century Gothic"/>
          <w:sz w:val="26"/>
          <w:szCs w:val="24"/>
        </w:rPr>
        <w:t>1</w:t>
      </w:r>
      <w:r w:rsidR="00A12AB7">
        <w:rPr>
          <w:rFonts w:ascii="Century Gothic" w:hAnsi="Century Gothic"/>
          <w:sz w:val="26"/>
          <w:szCs w:val="24"/>
        </w:rPr>
        <w:t>)</w:t>
      </w:r>
      <w:r w:rsidRPr="00D20C15">
        <w:rPr>
          <w:rFonts w:ascii="Century Gothic" w:hAnsi="Century Gothic"/>
          <w:sz w:val="26"/>
          <w:szCs w:val="24"/>
        </w:rPr>
        <w:t xml:space="preserve"> of the </w:t>
      </w:r>
      <w:r w:rsidR="00080721" w:rsidRPr="00D20C15">
        <w:rPr>
          <w:rFonts w:ascii="Century Gothic" w:hAnsi="Century Gothic"/>
          <w:sz w:val="26"/>
          <w:szCs w:val="24"/>
        </w:rPr>
        <w:t>W</w:t>
      </w:r>
      <w:r w:rsidRPr="00D20C15">
        <w:rPr>
          <w:rFonts w:ascii="Century Gothic" w:hAnsi="Century Gothic"/>
          <w:sz w:val="26"/>
          <w:szCs w:val="24"/>
        </w:rPr>
        <w:t xml:space="preserve">ills and </w:t>
      </w:r>
      <w:r w:rsidR="00080721" w:rsidRPr="00D20C15">
        <w:rPr>
          <w:rFonts w:ascii="Century Gothic" w:hAnsi="Century Gothic"/>
          <w:sz w:val="26"/>
          <w:szCs w:val="24"/>
        </w:rPr>
        <w:t>Ad</w:t>
      </w:r>
      <w:r w:rsidRPr="00D20C15">
        <w:rPr>
          <w:rFonts w:ascii="Century Gothic" w:hAnsi="Century Gothic"/>
          <w:sz w:val="26"/>
          <w:szCs w:val="24"/>
        </w:rPr>
        <w:t xml:space="preserve">ministration of </w:t>
      </w:r>
      <w:r w:rsidR="00A12AB7" w:rsidRPr="00D20C15">
        <w:rPr>
          <w:rFonts w:ascii="Century Gothic" w:hAnsi="Century Gothic"/>
          <w:sz w:val="26"/>
          <w:szCs w:val="24"/>
        </w:rPr>
        <w:t xml:space="preserve">Testate Estates Act Cap </w:t>
      </w:r>
      <w:r w:rsidR="002C4D78">
        <w:rPr>
          <w:rFonts w:ascii="Century Gothic" w:hAnsi="Century Gothic"/>
          <w:sz w:val="26"/>
          <w:szCs w:val="24"/>
        </w:rPr>
        <w:t>60 (hereinafter referred to as the Act)</w:t>
      </w:r>
      <w:r w:rsidRPr="00D20C15">
        <w:rPr>
          <w:rFonts w:ascii="Century Gothic" w:hAnsi="Century Gothic"/>
          <w:sz w:val="26"/>
          <w:szCs w:val="24"/>
        </w:rPr>
        <w:t xml:space="preserve"> the action was statute barred as </w:t>
      </w:r>
      <w:r w:rsidR="00F12B45" w:rsidRPr="00D20C15">
        <w:rPr>
          <w:rFonts w:ascii="Century Gothic" w:hAnsi="Century Gothic"/>
          <w:sz w:val="26"/>
          <w:szCs w:val="24"/>
        </w:rPr>
        <w:t>it was</w:t>
      </w:r>
      <w:r w:rsidRPr="00D20C15">
        <w:rPr>
          <w:rFonts w:ascii="Century Gothic" w:hAnsi="Century Gothic"/>
          <w:sz w:val="26"/>
          <w:szCs w:val="24"/>
        </w:rPr>
        <w:t xml:space="preserve"> not brought within the time limitation of six (6) months. </w:t>
      </w:r>
    </w:p>
    <w:p w:rsidR="0096796F" w:rsidRPr="00D20C15" w:rsidRDefault="0096796F" w:rsidP="002438F1">
      <w:pPr>
        <w:pStyle w:val="NoSpacing"/>
        <w:jc w:val="both"/>
        <w:rPr>
          <w:rFonts w:ascii="Century Gothic" w:hAnsi="Century Gothic"/>
          <w:sz w:val="26"/>
          <w:szCs w:val="24"/>
        </w:rPr>
      </w:pPr>
    </w:p>
    <w:p w:rsidR="0096796F" w:rsidRPr="00D20C15" w:rsidRDefault="0096796F"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The Applicants’ response was that in the absence of evidence that the </w:t>
      </w:r>
      <w:r w:rsidR="002C4D78" w:rsidRPr="00D20C15">
        <w:rPr>
          <w:rFonts w:ascii="Century Gothic" w:hAnsi="Century Gothic"/>
          <w:sz w:val="26"/>
          <w:szCs w:val="24"/>
        </w:rPr>
        <w:t>W</w:t>
      </w:r>
      <w:r w:rsidRPr="00D20C15">
        <w:rPr>
          <w:rFonts w:ascii="Century Gothic" w:hAnsi="Century Gothic"/>
          <w:sz w:val="26"/>
          <w:szCs w:val="24"/>
        </w:rPr>
        <w:t>ill was presented to all beneficiar</w:t>
      </w:r>
      <w:r w:rsidR="00F12B45">
        <w:rPr>
          <w:rFonts w:ascii="Century Gothic" w:hAnsi="Century Gothic"/>
          <w:sz w:val="26"/>
          <w:szCs w:val="24"/>
        </w:rPr>
        <w:t>ies</w:t>
      </w:r>
      <w:r w:rsidRPr="00D20C15">
        <w:rPr>
          <w:rFonts w:ascii="Century Gothic" w:hAnsi="Century Gothic"/>
          <w:sz w:val="26"/>
          <w:szCs w:val="24"/>
        </w:rPr>
        <w:t xml:space="preserve"> at a meeting held on a specified date, the provisions of section 22 (1) could not be invoked or relied upon.  That the Applicants only had </w:t>
      </w:r>
      <w:r w:rsidR="00F12B45" w:rsidRPr="00D20C15">
        <w:rPr>
          <w:rFonts w:ascii="Century Gothic" w:hAnsi="Century Gothic"/>
          <w:sz w:val="26"/>
          <w:szCs w:val="24"/>
        </w:rPr>
        <w:t>sight of</w:t>
      </w:r>
      <w:r w:rsidRPr="00D20C15">
        <w:rPr>
          <w:rFonts w:ascii="Century Gothic" w:hAnsi="Century Gothic"/>
          <w:sz w:val="26"/>
          <w:szCs w:val="24"/>
        </w:rPr>
        <w:t xml:space="preserve"> the </w:t>
      </w:r>
      <w:r w:rsidR="00A81B8B" w:rsidRPr="00D20C15">
        <w:rPr>
          <w:rFonts w:ascii="Century Gothic" w:hAnsi="Century Gothic"/>
          <w:sz w:val="26"/>
          <w:szCs w:val="24"/>
        </w:rPr>
        <w:t>W</w:t>
      </w:r>
      <w:r w:rsidR="00A81B8B">
        <w:rPr>
          <w:rFonts w:ascii="Century Gothic" w:hAnsi="Century Gothic"/>
          <w:sz w:val="26"/>
          <w:szCs w:val="24"/>
        </w:rPr>
        <w:t>ill in the month</w:t>
      </w:r>
      <w:r w:rsidRPr="00D20C15">
        <w:rPr>
          <w:rFonts w:ascii="Century Gothic" w:hAnsi="Century Gothic"/>
          <w:sz w:val="26"/>
          <w:szCs w:val="24"/>
        </w:rPr>
        <w:t xml:space="preserve"> of December, 2012 after which they filed process.  It was argued that in these circumstances, the limitation period under section 22 </w:t>
      </w:r>
      <w:r w:rsidR="00F12B45">
        <w:rPr>
          <w:rFonts w:ascii="Century Gothic" w:hAnsi="Century Gothic"/>
          <w:sz w:val="26"/>
          <w:szCs w:val="24"/>
        </w:rPr>
        <w:t>(</w:t>
      </w:r>
      <w:r w:rsidRPr="00D20C15">
        <w:rPr>
          <w:rFonts w:ascii="Century Gothic" w:hAnsi="Century Gothic"/>
          <w:sz w:val="26"/>
          <w:szCs w:val="24"/>
        </w:rPr>
        <w:t xml:space="preserve">1) only began to run from December 2012 and the Applicants were </w:t>
      </w:r>
      <w:r w:rsidR="00A81B8B">
        <w:rPr>
          <w:rFonts w:ascii="Century Gothic" w:hAnsi="Century Gothic"/>
          <w:sz w:val="26"/>
          <w:szCs w:val="24"/>
        </w:rPr>
        <w:t xml:space="preserve">therefore </w:t>
      </w:r>
      <w:r w:rsidRPr="00D20C15">
        <w:rPr>
          <w:rFonts w:ascii="Century Gothic" w:hAnsi="Century Gothic"/>
          <w:sz w:val="26"/>
          <w:szCs w:val="24"/>
        </w:rPr>
        <w:t xml:space="preserve">within time.  The court was urged to invoke the provisions of section 24 </w:t>
      </w:r>
      <w:r w:rsidR="002E08C5">
        <w:rPr>
          <w:rFonts w:ascii="Century Gothic" w:hAnsi="Century Gothic"/>
          <w:sz w:val="26"/>
          <w:szCs w:val="24"/>
        </w:rPr>
        <w:t>(</w:t>
      </w:r>
      <w:r w:rsidRPr="00D20C15">
        <w:rPr>
          <w:rFonts w:ascii="Century Gothic" w:hAnsi="Century Gothic"/>
          <w:sz w:val="26"/>
          <w:szCs w:val="24"/>
        </w:rPr>
        <w:t>1) (a</w:t>
      </w:r>
      <w:r w:rsidR="002E08C5">
        <w:rPr>
          <w:rFonts w:ascii="Century Gothic" w:hAnsi="Century Gothic"/>
          <w:sz w:val="26"/>
          <w:szCs w:val="24"/>
        </w:rPr>
        <w:t>)</w:t>
      </w:r>
      <w:r w:rsidRPr="00D20C15">
        <w:rPr>
          <w:rFonts w:ascii="Century Gothic" w:hAnsi="Century Gothic"/>
          <w:sz w:val="26"/>
          <w:szCs w:val="24"/>
        </w:rPr>
        <w:t xml:space="preserve"> and  vary the </w:t>
      </w:r>
      <w:r w:rsidR="00A81B8B" w:rsidRPr="00D20C15">
        <w:rPr>
          <w:rFonts w:ascii="Century Gothic" w:hAnsi="Century Gothic"/>
          <w:sz w:val="26"/>
          <w:szCs w:val="24"/>
        </w:rPr>
        <w:t>Wi</w:t>
      </w:r>
      <w:r w:rsidRPr="00D20C15">
        <w:rPr>
          <w:rFonts w:ascii="Century Gothic" w:hAnsi="Century Gothic"/>
          <w:sz w:val="26"/>
          <w:szCs w:val="24"/>
        </w:rPr>
        <w:t>ll on the basis of unreasonableness.</w:t>
      </w:r>
    </w:p>
    <w:p w:rsidR="0078754C" w:rsidRPr="00D20C15" w:rsidRDefault="0078754C" w:rsidP="002438F1">
      <w:pPr>
        <w:pStyle w:val="NoSpacing"/>
        <w:jc w:val="both"/>
        <w:rPr>
          <w:rFonts w:ascii="Century Gothic" w:hAnsi="Century Gothic"/>
          <w:sz w:val="26"/>
          <w:szCs w:val="24"/>
        </w:rPr>
      </w:pPr>
    </w:p>
    <w:p w:rsidR="0078754C" w:rsidRPr="00D20C15" w:rsidRDefault="0078754C"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The </w:t>
      </w:r>
      <w:r w:rsidR="00DC4698" w:rsidRPr="00D20C15">
        <w:rPr>
          <w:rFonts w:ascii="Century Gothic" w:hAnsi="Century Gothic"/>
          <w:sz w:val="26"/>
          <w:szCs w:val="24"/>
        </w:rPr>
        <w:t xml:space="preserve">Respondents </w:t>
      </w:r>
      <w:r w:rsidRPr="00D20C15">
        <w:rPr>
          <w:rFonts w:ascii="Century Gothic" w:hAnsi="Century Gothic"/>
          <w:sz w:val="26"/>
          <w:szCs w:val="24"/>
        </w:rPr>
        <w:t xml:space="preserve">replied that in the affidavits in support of </w:t>
      </w:r>
      <w:r w:rsidR="00711D63" w:rsidRPr="00D20C15">
        <w:rPr>
          <w:rFonts w:ascii="Century Gothic" w:hAnsi="Century Gothic"/>
          <w:sz w:val="26"/>
          <w:szCs w:val="24"/>
        </w:rPr>
        <w:t>Origin</w:t>
      </w:r>
      <w:r w:rsidRPr="00D20C15">
        <w:rPr>
          <w:rFonts w:ascii="Century Gothic" w:hAnsi="Century Gothic"/>
          <w:sz w:val="26"/>
          <w:szCs w:val="24"/>
        </w:rPr>
        <w:t xml:space="preserve">ating </w:t>
      </w:r>
      <w:r w:rsidR="00711D63" w:rsidRPr="00D20C15">
        <w:rPr>
          <w:rFonts w:ascii="Century Gothic" w:hAnsi="Century Gothic"/>
          <w:sz w:val="26"/>
          <w:szCs w:val="24"/>
        </w:rPr>
        <w:t>Sum</w:t>
      </w:r>
      <w:r w:rsidRPr="00D20C15">
        <w:rPr>
          <w:rFonts w:ascii="Century Gothic" w:hAnsi="Century Gothic"/>
          <w:sz w:val="26"/>
          <w:szCs w:val="24"/>
        </w:rPr>
        <w:t xml:space="preserve">mons, </w:t>
      </w:r>
      <w:r w:rsidR="00836BF0" w:rsidRPr="00D20C15">
        <w:rPr>
          <w:rFonts w:ascii="Century Gothic" w:hAnsi="Century Gothic"/>
          <w:sz w:val="26"/>
          <w:szCs w:val="24"/>
        </w:rPr>
        <w:t>particularly</w:t>
      </w:r>
      <w:r w:rsidRPr="00D20C15">
        <w:rPr>
          <w:rFonts w:ascii="Century Gothic" w:hAnsi="Century Gothic"/>
          <w:sz w:val="26"/>
          <w:szCs w:val="24"/>
        </w:rPr>
        <w:t xml:space="preserve"> paragraphs 13</w:t>
      </w:r>
      <w:r w:rsidR="00711D63">
        <w:rPr>
          <w:rFonts w:ascii="Century Gothic" w:hAnsi="Century Gothic"/>
          <w:sz w:val="26"/>
          <w:szCs w:val="24"/>
        </w:rPr>
        <w:t>,</w:t>
      </w:r>
      <w:r w:rsidRPr="00D20C15">
        <w:rPr>
          <w:rFonts w:ascii="Century Gothic" w:hAnsi="Century Gothic"/>
          <w:sz w:val="26"/>
          <w:szCs w:val="24"/>
        </w:rPr>
        <w:t xml:space="preserve"> the Applicants acknowledged that the </w:t>
      </w:r>
      <w:r w:rsidR="00711D63" w:rsidRPr="00D20C15">
        <w:rPr>
          <w:rFonts w:ascii="Century Gothic" w:hAnsi="Century Gothic"/>
          <w:sz w:val="26"/>
          <w:szCs w:val="24"/>
        </w:rPr>
        <w:t>Will</w:t>
      </w:r>
      <w:r w:rsidRPr="00D20C15">
        <w:rPr>
          <w:rFonts w:ascii="Century Gothic" w:hAnsi="Century Gothic"/>
          <w:sz w:val="26"/>
          <w:szCs w:val="24"/>
        </w:rPr>
        <w:t xml:space="preserve"> was presented to the family a week after the death of the </w:t>
      </w:r>
      <w:r w:rsidRPr="00D20C15">
        <w:rPr>
          <w:rFonts w:ascii="Century Gothic" w:hAnsi="Century Gothic"/>
          <w:sz w:val="26"/>
          <w:szCs w:val="24"/>
        </w:rPr>
        <w:lastRenderedPageBreak/>
        <w:t xml:space="preserve">deceased, which meant April, 2011, further, that their mother Rosemary </w:t>
      </w:r>
      <w:r w:rsidR="00836BF0" w:rsidRPr="00D20C15">
        <w:rPr>
          <w:rFonts w:ascii="Century Gothic" w:hAnsi="Century Gothic"/>
          <w:sz w:val="26"/>
          <w:szCs w:val="24"/>
        </w:rPr>
        <w:t xml:space="preserve">Bwalya </w:t>
      </w:r>
      <w:r w:rsidRPr="00D20C15">
        <w:rPr>
          <w:rFonts w:ascii="Century Gothic" w:hAnsi="Century Gothic"/>
          <w:sz w:val="26"/>
          <w:szCs w:val="24"/>
        </w:rPr>
        <w:t xml:space="preserve">Chibwe obtained an injunction based on the </w:t>
      </w:r>
      <w:r w:rsidR="00711D63" w:rsidRPr="00D20C15">
        <w:rPr>
          <w:rFonts w:ascii="Century Gothic" w:hAnsi="Century Gothic"/>
          <w:sz w:val="26"/>
          <w:szCs w:val="24"/>
        </w:rPr>
        <w:t>Will</w:t>
      </w:r>
      <w:r w:rsidRPr="00D20C15">
        <w:rPr>
          <w:rFonts w:ascii="Century Gothic" w:hAnsi="Century Gothic"/>
          <w:sz w:val="26"/>
          <w:szCs w:val="24"/>
        </w:rPr>
        <w:t xml:space="preserve"> in April, 201</w:t>
      </w:r>
      <w:r w:rsidR="00711D63">
        <w:rPr>
          <w:rFonts w:ascii="Century Gothic" w:hAnsi="Century Gothic"/>
          <w:sz w:val="26"/>
          <w:szCs w:val="24"/>
        </w:rPr>
        <w:t xml:space="preserve">1.  </w:t>
      </w:r>
      <w:r w:rsidR="00CD3BB1">
        <w:rPr>
          <w:rFonts w:ascii="Century Gothic" w:hAnsi="Century Gothic"/>
          <w:sz w:val="26"/>
          <w:szCs w:val="24"/>
        </w:rPr>
        <w:t xml:space="preserve">This </w:t>
      </w:r>
      <w:r w:rsidR="00CD3BB1" w:rsidRPr="00D20C15">
        <w:rPr>
          <w:rFonts w:ascii="Century Gothic" w:hAnsi="Century Gothic"/>
          <w:sz w:val="26"/>
          <w:szCs w:val="24"/>
        </w:rPr>
        <w:t>showed</w:t>
      </w:r>
      <w:r w:rsidRPr="00D20C15">
        <w:rPr>
          <w:rFonts w:ascii="Century Gothic" w:hAnsi="Century Gothic"/>
          <w:sz w:val="26"/>
          <w:szCs w:val="24"/>
        </w:rPr>
        <w:t xml:space="preserve"> that the Applicants, </w:t>
      </w:r>
      <w:r w:rsidR="00836BF0" w:rsidRPr="00D20C15">
        <w:rPr>
          <w:rFonts w:ascii="Century Gothic" w:hAnsi="Century Gothic"/>
          <w:sz w:val="26"/>
          <w:szCs w:val="24"/>
        </w:rPr>
        <w:t>particularly</w:t>
      </w:r>
      <w:r w:rsidRPr="00D20C15">
        <w:rPr>
          <w:rFonts w:ascii="Century Gothic" w:hAnsi="Century Gothic"/>
          <w:sz w:val="26"/>
          <w:szCs w:val="24"/>
        </w:rPr>
        <w:t xml:space="preserve"> the first two</w:t>
      </w:r>
      <w:r w:rsidR="00711D63">
        <w:rPr>
          <w:rFonts w:ascii="Century Gothic" w:hAnsi="Century Gothic"/>
          <w:sz w:val="26"/>
          <w:szCs w:val="24"/>
        </w:rPr>
        <w:t>,</w:t>
      </w:r>
      <w:r w:rsidRPr="00D20C15">
        <w:rPr>
          <w:rFonts w:ascii="Century Gothic" w:hAnsi="Century Gothic"/>
          <w:sz w:val="26"/>
          <w:szCs w:val="24"/>
        </w:rPr>
        <w:t xml:space="preserve"> also had knowledge of the same and its contents</w:t>
      </w:r>
      <w:r w:rsidR="00711D63">
        <w:rPr>
          <w:rFonts w:ascii="Century Gothic" w:hAnsi="Century Gothic"/>
          <w:sz w:val="26"/>
          <w:szCs w:val="24"/>
        </w:rPr>
        <w:t>,</w:t>
      </w:r>
      <w:r w:rsidRPr="00D20C15">
        <w:rPr>
          <w:rFonts w:ascii="Century Gothic" w:hAnsi="Century Gothic"/>
          <w:sz w:val="26"/>
          <w:szCs w:val="24"/>
        </w:rPr>
        <w:t xml:space="preserve"> being part of the family.</w:t>
      </w:r>
    </w:p>
    <w:p w:rsidR="00A966DC" w:rsidRPr="00D20C15" w:rsidRDefault="00A966DC" w:rsidP="002438F1">
      <w:pPr>
        <w:pStyle w:val="NoSpacing"/>
        <w:jc w:val="both"/>
        <w:rPr>
          <w:rFonts w:ascii="Century Gothic" w:hAnsi="Century Gothic"/>
          <w:sz w:val="26"/>
          <w:szCs w:val="24"/>
        </w:rPr>
      </w:pPr>
    </w:p>
    <w:p w:rsidR="002438F1" w:rsidRDefault="00A966DC" w:rsidP="008245D8">
      <w:pPr>
        <w:pStyle w:val="NoSpacing"/>
        <w:spacing w:line="360" w:lineRule="auto"/>
        <w:jc w:val="both"/>
        <w:rPr>
          <w:rFonts w:ascii="Century Gothic" w:hAnsi="Century Gothic"/>
          <w:sz w:val="26"/>
          <w:szCs w:val="24"/>
        </w:rPr>
      </w:pPr>
      <w:r w:rsidRPr="00D20C15">
        <w:rPr>
          <w:rFonts w:ascii="Century Gothic" w:hAnsi="Century Gothic"/>
          <w:sz w:val="26"/>
          <w:szCs w:val="24"/>
        </w:rPr>
        <w:t>Section 22 (1) of the Act, cap 60 provides;</w:t>
      </w:r>
    </w:p>
    <w:p w:rsidR="002438F1" w:rsidRPr="00D20C15" w:rsidRDefault="002438F1" w:rsidP="002438F1">
      <w:pPr>
        <w:pStyle w:val="NoSpacing"/>
        <w:jc w:val="both"/>
        <w:rPr>
          <w:rFonts w:ascii="Century Gothic" w:hAnsi="Century Gothic"/>
          <w:sz w:val="26"/>
          <w:szCs w:val="24"/>
        </w:rPr>
      </w:pPr>
    </w:p>
    <w:p w:rsidR="00A966DC" w:rsidRDefault="00A966DC" w:rsidP="00A966DC">
      <w:pPr>
        <w:pStyle w:val="NoSpacing"/>
        <w:spacing w:line="360" w:lineRule="auto"/>
        <w:ind w:left="720"/>
        <w:jc w:val="both"/>
        <w:rPr>
          <w:rFonts w:ascii="Century Gothic" w:hAnsi="Century Gothic"/>
          <w:b/>
          <w:i/>
          <w:sz w:val="26"/>
          <w:szCs w:val="24"/>
        </w:rPr>
      </w:pPr>
      <w:r w:rsidRPr="00D20C15">
        <w:rPr>
          <w:rFonts w:ascii="Century Gothic" w:hAnsi="Century Gothic"/>
          <w:b/>
          <w:i/>
          <w:sz w:val="26"/>
          <w:szCs w:val="24"/>
        </w:rPr>
        <w:t xml:space="preserve">“22.(1) except as provided by section </w:t>
      </w:r>
      <w:r w:rsidRPr="00CD0BF9">
        <w:rPr>
          <w:rFonts w:ascii="Century Gothic" w:hAnsi="Century Gothic"/>
          <w:b/>
          <w:i/>
          <w:sz w:val="26"/>
          <w:szCs w:val="24"/>
          <w:u w:val="single"/>
        </w:rPr>
        <w:t>twenty-four</w:t>
      </w:r>
      <w:r w:rsidRPr="00D20C15">
        <w:rPr>
          <w:rFonts w:ascii="Century Gothic" w:hAnsi="Century Gothic"/>
          <w:b/>
          <w:i/>
          <w:sz w:val="26"/>
          <w:szCs w:val="24"/>
        </w:rPr>
        <w:t xml:space="preserve"> an order under this part shall not be made except on an application made within six months from the </w:t>
      </w:r>
      <w:r w:rsidR="00E6239E" w:rsidRPr="00D20C15">
        <w:rPr>
          <w:rFonts w:ascii="Century Gothic" w:hAnsi="Century Gothic"/>
          <w:b/>
          <w:i/>
          <w:sz w:val="26"/>
          <w:szCs w:val="24"/>
        </w:rPr>
        <w:t>date on which representation in regard  to the testator’s estate for general purposes is first taken out.”</w:t>
      </w:r>
    </w:p>
    <w:p w:rsidR="002438F1" w:rsidRPr="00D20C15" w:rsidRDefault="002438F1" w:rsidP="002438F1">
      <w:pPr>
        <w:pStyle w:val="NoSpacing"/>
        <w:ind w:left="720"/>
        <w:jc w:val="both"/>
        <w:rPr>
          <w:rFonts w:ascii="Century Gothic" w:hAnsi="Century Gothic"/>
          <w:b/>
          <w:i/>
          <w:sz w:val="26"/>
          <w:szCs w:val="24"/>
        </w:rPr>
      </w:pPr>
    </w:p>
    <w:p w:rsidR="00E6239E" w:rsidRPr="00D20C15" w:rsidRDefault="00E6239E" w:rsidP="00E6239E">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This section is under part three of the Act which is headed </w:t>
      </w:r>
      <w:r w:rsidRPr="000E3E4F">
        <w:rPr>
          <w:rFonts w:ascii="Century Gothic" w:hAnsi="Century Gothic"/>
          <w:b/>
          <w:i/>
          <w:sz w:val="26"/>
          <w:szCs w:val="24"/>
        </w:rPr>
        <w:t>“family provisions in will”</w:t>
      </w:r>
      <w:r w:rsidR="000E3E4F">
        <w:rPr>
          <w:rFonts w:ascii="Century Gothic" w:hAnsi="Century Gothic"/>
          <w:b/>
          <w:i/>
          <w:sz w:val="26"/>
          <w:szCs w:val="24"/>
        </w:rPr>
        <w:t>.</w:t>
      </w:r>
      <w:r w:rsidRPr="000E3E4F">
        <w:rPr>
          <w:rFonts w:ascii="Century Gothic" w:hAnsi="Century Gothic"/>
          <w:b/>
          <w:i/>
          <w:sz w:val="26"/>
          <w:szCs w:val="24"/>
        </w:rPr>
        <w:t xml:space="preserve">  </w:t>
      </w:r>
      <w:r w:rsidR="000E3E4F" w:rsidRPr="00D20C15">
        <w:rPr>
          <w:rFonts w:ascii="Century Gothic" w:hAnsi="Century Gothic"/>
          <w:sz w:val="26"/>
          <w:szCs w:val="24"/>
        </w:rPr>
        <w:t xml:space="preserve">The </w:t>
      </w:r>
      <w:r w:rsidRPr="00D20C15">
        <w:rPr>
          <w:rFonts w:ascii="Century Gothic" w:hAnsi="Century Gothic"/>
          <w:sz w:val="26"/>
          <w:szCs w:val="24"/>
        </w:rPr>
        <w:t xml:space="preserve">time limitation of six </w:t>
      </w:r>
      <w:r w:rsidR="000E3E4F">
        <w:rPr>
          <w:rFonts w:ascii="Century Gothic" w:hAnsi="Century Gothic"/>
          <w:sz w:val="26"/>
          <w:szCs w:val="24"/>
        </w:rPr>
        <w:t>(</w:t>
      </w:r>
      <w:r w:rsidRPr="00D20C15">
        <w:rPr>
          <w:rFonts w:ascii="Century Gothic" w:hAnsi="Century Gothic"/>
          <w:sz w:val="26"/>
          <w:szCs w:val="24"/>
        </w:rPr>
        <w:t xml:space="preserve">6) months relate to applications under that part of the </w:t>
      </w:r>
      <w:r w:rsidR="00181A7D" w:rsidRPr="00D20C15">
        <w:rPr>
          <w:rFonts w:ascii="Century Gothic" w:hAnsi="Century Gothic"/>
          <w:sz w:val="26"/>
          <w:szCs w:val="24"/>
        </w:rPr>
        <w:t>A</w:t>
      </w:r>
      <w:r w:rsidRPr="00D20C15">
        <w:rPr>
          <w:rFonts w:ascii="Century Gothic" w:hAnsi="Century Gothic"/>
          <w:sz w:val="26"/>
          <w:szCs w:val="24"/>
        </w:rPr>
        <w:t>ct comprising section</w:t>
      </w:r>
      <w:r w:rsidR="00181A7D">
        <w:rPr>
          <w:rFonts w:ascii="Century Gothic" w:hAnsi="Century Gothic"/>
          <w:sz w:val="26"/>
          <w:szCs w:val="24"/>
        </w:rPr>
        <w:t>s</w:t>
      </w:r>
      <w:r w:rsidRPr="00D20C15">
        <w:rPr>
          <w:rFonts w:ascii="Century Gothic" w:hAnsi="Century Gothic"/>
          <w:sz w:val="26"/>
          <w:szCs w:val="24"/>
        </w:rPr>
        <w:t xml:space="preserve"> 20 to 24 and majorly deals with variation of will</w:t>
      </w:r>
      <w:r w:rsidR="000E3E4F">
        <w:rPr>
          <w:rFonts w:ascii="Century Gothic" w:hAnsi="Century Gothic"/>
          <w:sz w:val="26"/>
          <w:szCs w:val="24"/>
        </w:rPr>
        <w:t>s</w:t>
      </w:r>
      <w:r w:rsidRPr="00D20C15">
        <w:rPr>
          <w:rFonts w:ascii="Century Gothic" w:hAnsi="Century Gothic"/>
          <w:sz w:val="26"/>
          <w:szCs w:val="24"/>
        </w:rPr>
        <w:t xml:space="preserve"> and for making reasonable provisions for beneficiaries.  If the  Applicant</w:t>
      </w:r>
      <w:r w:rsidR="000E3E4F">
        <w:rPr>
          <w:rFonts w:ascii="Century Gothic" w:hAnsi="Century Gothic"/>
          <w:sz w:val="26"/>
          <w:szCs w:val="24"/>
        </w:rPr>
        <w:t>s</w:t>
      </w:r>
      <w:r w:rsidRPr="00D20C15">
        <w:rPr>
          <w:rFonts w:ascii="Century Gothic" w:hAnsi="Century Gothic"/>
          <w:sz w:val="26"/>
          <w:szCs w:val="24"/>
        </w:rPr>
        <w:t xml:space="preserve"> action had been for </w:t>
      </w:r>
      <w:r w:rsidR="00C6657B" w:rsidRPr="00D20C15">
        <w:rPr>
          <w:rFonts w:ascii="Century Gothic" w:hAnsi="Century Gothic"/>
          <w:sz w:val="26"/>
          <w:szCs w:val="24"/>
        </w:rPr>
        <w:t>variation</w:t>
      </w:r>
      <w:r w:rsidR="000E3E4F">
        <w:rPr>
          <w:rFonts w:ascii="Century Gothic" w:hAnsi="Century Gothic"/>
          <w:sz w:val="26"/>
          <w:szCs w:val="24"/>
        </w:rPr>
        <w:t xml:space="preserve"> of will to make reason</w:t>
      </w:r>
      <w:r w:rsidRPr="00D20C15">
        <w:rPr>
          <w:rFonts w:ascii="Century Gothic" w:hAnsi="Century Gothic"/>
          <w:sz w:val="26"/>
          <w:szCs w:val="24"/>
        </w:rPr>
        <w:t xml:space="preserve">able provisions for themselves as beneficiaries, the application and arguments by the </w:t>
      </w:r>
      <w:r w:rsidR="000E3E4F" w:rsidRPr="00D20C15">
        <w:rPr>
          <w:rFonts w:ascii="Century Gothic" w:hAnsi="Century Gothic"/>
          <w:sz w:val="26"/>
          <w:szCs w:val="24"/>
        </w:rPr>
        <w:t>Resp</w:t>
      </w:r>
      <w:r w:rsidRPr="00D20C15">
        <w:rPr>
          <w:rFonts w:ascii="Century Gothic" w:hAnsi="Century Gothic"/>
          <w:sz w:val="26"/>
          <w:szCs w:val="24"/>
        </w:rPr>
        <w:t>ondent</w:t>
      </w:r>
      <w:r w:rsidR="00181A7D">
        <w:rPr>
          <w:rFonts w:ascii="Century Gothic" w:hAnsi="Century Gothic"/>
          <w:sz w:val="26"/>
          <w:szCs w:val="24"/>
        </w:rPr>
        <w:t>s</w:t>
      </w:r>
      <w:r w:rsidRPr="00D20C15">
        <w:rPr>
          <w:rFonts w:ascii="Century Gothic" w:hAnsi="Century Gothic"/>
          <w:sz w:val="26"/>
          <w:szCs w:val="24"/>
        </w:rPr>
        <w:t xml:space="preserve"> would have been valid in that the </w:t>
      </w:r>
      <w:r w:rsidR="00C6657B" w:rsidRPr="00D20C15">
        <w:rPr>
          <w:rFonts w:ascii="Century Gothic" w:hAnsi="Century Gothic"/>
          <w:sz w:val="26"/>
          <w:szCs w:val="24"/>
        </w:rPr>
        <w:t>application</w:t>
      </w:r>
      <w:r w:rsidRPr="00D20C15">
        <w:rPr>
          <w:rFonts w:ascii="Century Gothic" w:hAnsi="Century Gothic"/>
          <w:sz w:val="26"/>
          <w:szCs w:val="24"/>
        </w:rPr>
        <w:t xml:space="preserve"> would have been statute barred.</w:t>
      </w:r>
    </w:p>
    <w:p w:rsidR="00657E4F" w:rsidRPr="00D20C15" w:rsidRDefault="00657E4F" w:rsidP="00FD35A0">
      <w:pPr>
        <w:pStyle w:val="NoSpacing"/>
        <w:jc w:val="both"/>
        <w:rPr>
          <w:rFonts w:ascii="Century Gothic" w:hAnsi="Century Gothic"/>
          <w:sz w:val="26"/>
          <w:szCs w:val="24"/>
        </w:rPr>
      </w:pPr>
    </w:p>
    <w:p w:rsidR="00657E4F" w:rsidRPr="00D20C15" w:rsidRDefault="00657E4F" w:rsidP="00E6239E">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This is in line with the holding in </w:t>
      </w:r>
      <w:r w:rsidR="00EE1AB6" w:rsidRPr="00EE1AB6">
        <w:rPr>
          <w:rFonts w:ascii="Century Gothic" w:hAnsi="Century Gothic"/>
          <w:b/>
          <w:i/>
          <w:sz w:val="26"/>
          <w:szCs w:val="24"/>
          <w:u w:val="single"/>
        </w:rPr>
        <w:t>Jacks Stanely Thornicrof</w:t>
      </w:r>
      <w:r w:rsidR="00ED6561">
        <w:rPr>
          <w:rFonts w:ascii="Century Gothic" w:hAnsi="Century Gothic"/>
          <w:b/>
          <w:i/>
          <w:sz w:val="26"/>
          <w:szCs w:val="24"/>
          <w:u w:val="single"/>
        </w:rPr>
        <w:t>t</w:t>
      </w:r>
      <w:r w:rsidR="00EE1AB6" w:rsidRPr="00EE1AB6">
        <w:rPr>
          <w:rFonts w:ascii="Century Gothic" w:hAnsi="Century Gothic"/>
          <w:b/>
          <w:i/>
          <w:sz w:val="26"/>
          <w:szCs w:val="24"/>
          <w:u w:val="single"/>
        </w:rPr>
        <w:t xml:space="preserve"> </w:t>
      </w:r>
      <w:r w:rsidR="00EE1AB6">
        <w:rPr>
          <w:rFonts w:ascii="Century Gothic" w:hAnsi="Century Gothic"/>
          <w:b/>
          <w:i/>
          <w:sz w:val="26"/>
          <w:szCs w:val="24"/>
          <w:u w:val="single"/>
        </w:rPr>
        <w:t>v</w:t>
      </w:r>
      <w:r w:rsidR="00EE1AB6" w:rsidRPr="00EE1AB6">
        <w:rPr>
          <w:rFonts w:ascii="Century Gothic" w:hAnsi="Century Gothic"/>
          <w:b/>
          <w:i/>
          <w:sz w:val="26"/>
          <w:szCs w:val="24"/>
          <w:u w:val="single"/>
        </w:rPr>
        <w:t xml:space="preserve"> Murray Evans </w:t>
      </w:r>
      <w:r w:rsidR="00ED6561">
        <w:rPr>
          <w:rFonts w:ascii="Century Gothic" w:hAnsi="Century Gothic"/>
          <w:b/>
          <w:i/>
          <w:sz w:val="26"/>
          <w:szCs w:val="24"/>
          <w:u w:val="single"/>
        </w:rPr>
        <w:t>a</w:t>
      </w:r>
      <w:r w:rsidR="00EE1AB6" w:rsidRPr="00EE1AB6">
        <w:rPr>
          <w:rFonts w:ascii="Century Gothic" w:hAnsi="Century Gothic"/>
          <w:b/>
          <w:i/>
          <w:sz w:val="26"/>
          <w:szCs w:val="24"/>
          <w:u w:val="single"/>
        </w:rPr>
        <w:t>nd I</w:t>
      </w:r>
      <w:r w:rsidR="00181A7D">
        <w:rPr>
          <w:rFonts w:ascii="Century Gothic" w:hAnsi="Century Gothic"/>
          <w:b/>
          <w:i/>
          <w:sz w:val="26"/>
          <w:szCs w:val="24"/>
          <w:u w:val="single"/>
        </w:rPr>
        <w:t>v</w:t>
      </w:r>
      <w:r w:rsidR="00EE1AB6" w:rsidRPr="00EE1AB6">
        <w:rPr>
          <w:rFonts w:ascii="Century Gothic" w:hAnsi="Century Gothic"/>
          <w:b/>
          <w:i/>
          <w:sz w:val="26"/>
          <w:szCs w:val="24"/>
          <w:u w:val="single"/>
        </w:rPr>
        <w:t xml:space="preserve">an </w:t>
      </w:r>
      <w:r w:rsidR="00181A7D">
        <w:rPr>
          <w:rFonts w:ascii="Century Gothic" w:hAnsi="Century Gothic"/>
          <w:b/>
          <w:i/>
          <w:sz w:val="26"/>
          <w:szCs w:val="24"/>
          <w:u w:val="single"/>
        </w:rPr>
        <w:t>Mc</w:t>
      </w:r>
      <w:r w:rsidR="00EE1AB6" w:rsidRPr="00EE1AB6">
        <w:rPr>
          <w:rFonts w:ascii="Century Gothic" w:hAnsi="Century Gothic"/>
          <w:b/>
          <w:i/>
          <w:sz w:val="26"/>
          <w:szCs w:val="24"/>
          <w:u w:val="single"/>
        </w:rPr>
        <w:t>kilop (1985) ZR</w:t>
      </w:r>
      <w:r w:rsidRPr="00EE1AB6">
        <w:rPr>
          <w:rFonts w:ascii="Century Gothic" w:hAnsi="Century Gothic"/>
          <w:b/>
          <w:i/>
          <w:sz w:val="26"/>
          <w:szCs w:val="24"/>
          <w:u w:val="single"/>
        </w:rPr>
        <w:t xml:space="preserve"> </w:t>
      </w:r>
      <w:r w:rsidR="00EE1AB6" w:rsidRPr="00EE1AB6">
        <w:rPr>
          <w:rFonts w:ascii="Century Gothic" w:hAnsi="Century Gothic"/>
          <w:b/>
          <w:i/>
          <w:sz w:val="26"/>
          <w:szCs w:val="24"/>
          <w:u w:val="single"/>
        </w:rPr>
        <w:t xml:space="preserve">172 </w:t>
      </w:r>
      <w:r w:rsidRPr="00D20C15">
        <w:rPr>
          <w:rFonts w:ascii="Century Gothic" w:hAnsi="Century Gothic"/>
          <w:sz w:val="26"/>
          <w:szCs w:val="24"/>
        </w:rPr>
        <w:t>that the six months period generally begins to run from the date of grant of letters of administration or probate.  This is nevertheless subject to the provisions of section 24.</w:t>
      </w:r>
    </w:p>
    <w:p w:rsidR="00DF56DF" w:rsidRPr="00D20C15" w:rsidRDefault="00DF56DF" w:rsidP="00E6239E">
      <w:pPr>
        <w:pStyle w:val="NoSpacing"/>
        <w:spacing w:line="360" w:lineRule="auto"/>
        <w:jc w:val="both"/>
        <w:rPr>
          <w:rFonts w:ascii="Century Gothic" w:hAnsi="Century Gothic"/>
          <w:sz w:val="26"/>
          <w:szCs w:val="24"/>
        </w:rPr>
      </w:pPr>
    </w:p>
    <w:p w:rsidR="00DF56DF" w:rsidRPr="00D20C15" w:rsidRDefault="00DF56DF" w:rsidP="00E6239E">
      <w:pPr>
        <w:pStyle w:val="NoSpacing"/>
        <w:spacing w:line="360" w:lineRule="auto"/>
        <w:jc w:val="both"/>
        <w:rPr>
          <w:rFonts w:ascii="Century Gothic" w:hAnsi="Century Gothic"/>
          <w:sz w:val="26"/>
          <w:szCs w:val="24"/>
        </w:rPr>
      </w:pPr>
      <w:r w:rsidRPr="00D20C15">
        <w:rPr>
          <w:rFonts w:ascii="Century Gothic" w:hAnsi="Century Gothic"/>
          <w:sz w:val="26"/>
          <w:szCs w:val="24"/>
        </w:rPr>
        <w:t>Contrary to the argument by the Applicant</w:t>
      </w:r>
      <w:r w:rsidR="00123325">
        <w:rPr>
          <w:rFonts w:ascii="Century Gothic" w:hAnsi="Century Gothic"/>
          <w:sz w:val="26"/>
          <w:szCs w:val="24"/>
        </w:rPr>
        <w:t>s</w:t>
      </w:r>
      <w:r w:rsidRPr="00D20C15">
        <w:rPr>
          <w:rFonts w:ascii="Century Gothic" w:hAnsi="Century Gothic"/>
          <w:sz w:val="26"/>
          <w:szCs w:val="24"/>
        </w:rPr>
        <w:t xml:space="preserve">, the Act does not prescribe the manner in which the </w:t>
      </w:r>
      <w:r w:rsidR="00123325" w:rsidRPr="00D20C15">
        <w:rPr>
          <w:rFonts w:ascii="Century Gothic" w:hAnsi="Century Gothic"/>
          <w:sz w:val="26"/>
          <w:szCs w:val="24"/>
        </w:rPr>
        <w:t>Wil</w:t>
      </w:r>
      <w:r w:rsidRPr="00D20C15">
        <w:rPr>
          <w:rFonts w:ascii="Century Gothic" w:hAnsi="Century Gothic"/>
          <w:sz w:val="26"/>
          <w:szCs w:val="24"/>
        </w:rPr>
        <w:t xml:space="preserve">l has to be presented to the beneficiaries and thus the onus would be on the Applicants to show that they got to know </w:t>
      </w:r>
      <w:r w:rsidRPr="00D20C15">
        <w:rPr>
          <w:rFonts w:ascii="Century Gothic" w:hAnsi="Century Gothic"/>
          <w:sz w:val="26"/>
          <w:szCs w:val="24"/>
        </w:rPr>
        <w:lastRenderedPageBreak/>
        <w:t xml:space="preserve">of the </w:t>
      </w:r>
      <w:r w:rsidR="00123325" w:rsidRPr="00D20C15">
        <w:rPr>
          <w:rFonts w:ascii="Century Gothic" w:hAnsi="Century Gothic"/>
          <w:sz w:val="26"/>
          <w:szCs w:val="24"/>
        </w:rPr>
        <w:t>Wi</w:t>
      </w:r>
      <w:r w:rsidRPr="00D20C15">
        <w:rPr>
          <w:rFonts w:ascii="Century Gothic" w:hAnsi="Century Gothic"/>
          <w:sz w:val="26"/>
          <w:szCs w:val="24"/>
        </w:rPr>
        <w:t xml:space="preserve">ll and its provisions within the limitation period. Section 22 </w:t>
      </w:r>
      <w:r w:rsidR="00CD3BB1" w:rsidRPr="00D20C15">
        <w:rPr>
          <w:rFonts w:ascii="Century Gothic" w:hAnsi="Century Gothic"/>
          <w:sz w:val="26"/>
          <w:szCs w:val="24"/>
        </w:rPr>
        <w:t>suggest</w:t>
      </w:r>
      <w:r w:rsidR="00CD3BB1">
        <w:rPr>
          <w:rFonts w:ascii="Century Gothic" w:hAnsi="Century Gothic"/>
          <w:sz w:val="26"/>
          <w:szCs w:val="24"/>
        </w:rPr>
        <w:t xml:space="preserve">s </w:t>
      </w:r>
      <w:r w:rsidR="00CD3BB1" w:rsidRPr="00D20C15">
        <w:rPr>
          <w:rFonts w:ascii="Century Gothic" w:hAnsi="Century Gothic"/>
          <w:sz w:val="26"/>
          <w:szCs w:val="24"/>
        </w:rPr>
        <w:t>that</w:t>
      </w:r>
      <w:r w:rsidRPr="00D20C15">
        <w:rPr>
          <w:rFonts w:ascii="Century Gothic" w:hAnsi="Century Gothic"/>
          <w:sz w:val="26"/>
          <w:szCs w:val="24"/>
        </w:rPr>
        <w:t xml:space="preserve"> time </w:t>
      </w:r>
      <w:r w:rsidR="0029640D" w:rsidRPr="00D20C15">
        <w:rPr>
          <w:rFonts w:ascii="Century Gothic" w:hAnsi="Century Gothic"/>
          <w:sz w:val="26"/>
          <w:szCs w:val="24"/>
        </w:rPr>
        <w:t>would ordinarily</w:t>
      </w:r>
      <w:r w:rsidRPr="00D20C15">
        <w:rPr>
          <w:rFonts w:ascii="Century Gothic" w:hAnsi="Century Gothic"/>
          <w:sz w:val="26"/>
          <w:szCs w:val="24"/>
        </w:rPr>
        <w:t xml:space="preserve"> </w:t>
      </w:r>
      <w:r w:rsidR="005C1A7A" w:rsidRPr="00D20C15">
        <w:rPr>
          <w:rFonts w:ascii="Century Gothic" w:hAnsi="Century Gothic"/>
          <w:sz w:val="26"/>
          <w:szCs w:val="24"/>
        </w:rPr>
        <w:t xml:space="preserve">begin to run after representation is first taken out.  This would refer to the time from which the letters of administration or probate is taken out.  In </w:t>
      </w:r>
      <w:r w:rsidR="0029640D" w:rsidRPr="00D20C15">
        <w:rPr>
          <w:rFonts w:ascii="Century Gothic" w:hAnsi="Century Gothic"/>
          <w:sz w:val="26"/>
          <w:szCs w:val="24"/>
        </w:rPr>
        <w:t>this</w:t>
      </w:r>
      <w:r w:rsidR="005C1A7A" w:rsidRPr="00D20C15">
        <w:rPr>
          <w:rFonts w:ascii="Century Gothic" w:hAnsi="Century Gothic"/>
          <w:sz w:val="26"/>
          <w:szCs w:val="24"/>
        </w:rPr>
        <w:t xml:space="preserve"> case, this was done in </w:t>
      </w:r>
      <w:r w:rsidR="00841920" w:rsidRPr="00D20C15">
        <w:rPr>
          <w:rFonts w:ascii="Century Gothic" w:hAnsi="Century Gothic"/>
          <w:sz w:val="26"/>
          <w:szCs w:val="24"/>
        </w:rPr>
        <w:t>M</w:t>
      </w:r>
      <w:r w:rsidR="005C1A7A" w:rsidRPr="00D20C15">
        <w:rPr>
          <w:rFonts w:ascii="Century Gothic" w:hAnsi="Century Gothic"/>
          <w:sz w:val="26"/>
          <w:szCs w:val="24"/>
        </w:rPr>
        <w:t xml:space="preserve">ay 2011.  </w:t>
      </w:r>
    </w:p>
    <w:p w:rsidR="0030681D" w:rsidRPr="00D20C15" w:rsidRDefault="0030681D" w:rsidP="00FD35A0">
      <w:pPr>
        <w:pStyle w:val="NoSpacing"/>
        <w:jc w:val="both"/>
        <w:rPr>
          <w:rFonts w:ascii="Century Gothic" w:hAnsi="Century Gothic"/>
          <w:sz w:val="26"/>
          <w:szCs w:val="24"/>
        </w:rPr>
      </w:pPr>
    </w:p>
    <w:p w:rsidR="0030681D" w:rsidRPr="00D20C15" w:rsidRDefault="0030681D" w:rsidP="00E6239E">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Despite what I have </w:t>
      </w:r>
      <w:r w:rsidR="00833AA2" w:rsidRPr="00D20C15">
        <w:rPr>
          <w:rFonts w:ascii="Century Gothic" w:hAnsi="Century Gothic"/>
          <w:sz w:val="26"/>
          <w:szCs w:val="24"/>
        </w:rPr>
        <w:t>highlighted</w:t>
      </w:r>
      <w:r w:rsidRPr="00D20C15">
        <w:rPr>
          <w:rFonts w:ascii="Century Gothic" w:hAnsi="Century Gothic"/>
          <w:sz w:val="26"/>
          <w:szCs w:val="24"/>
        </w:rPr>
        <w:t xml:space="preserve"> above, I find that the </w:t>
      </w:r>
      <w:r w:rsidR="00AC2D60" w:rsidRPr="00D20C15">
        <w:rPr>
          <w:rFonts w:ascii="Century Gothic" w:hAnsi="Century Gothic"/>
          <w:sz w:val="26"/>
          <w:szCs w:val="24"/>
        </w:rPr>
        <w:t xml:space="preserve">Originating Summons </w:t>
      </w:r>
      <w:r w:rsidRPr="00D20C15">
        <w:rPr>
          <w:rFonts w:ascii="Century Gothic" w:hAnsi="Century Gothic"/>
          <w:sz w:val="26"/>
          <w:szCs w:val="24"/>
        </w:rPr>
        <w:t xml:space="preserve">state that the Applicants action is for nullification of </w:t>
      </w:r>
      <w:r w:rsidR="00CD3BB1">
        <w:rPr>
          <w:rFonts w:ascii="Century Gothic" w:hAnsi="Century Gothic"/>
          <w:sz w:val="26"/>
          <w:szCs w:val="24"/>
        </w:rPr>
        <w:t>the Will</w:t>
      </w:r>
      <w:r w:rsidRPr="00D20C15">
        <w:rPr>
          <w:rFonts w:ascii="Century Gothic" w:hAnsi="Century Gothic"/>
          <w:sz w:val="26"/>
          <w:szCs w:val="24"/>
        </w:rPr>
        <w:t xml:space="preserve"> and not variation of </w:t>
      </w:r>
      <w:r w:rsidR="00AC2D60" w:rsidRPr="00D20C15">
        <w:rPr>
          <w:rFonts w:ascii="Century Gothic" w:hAnsi="Century Gothic"/>
          <w:sz w:val="26"/>
          <w:szCs w:val="24"/>
        </w:rPr>
        <w:t>Wi</w:t>
      </w:r>
      <w:r w:rsidRPr="00D20C15">
        <w:rPr>
          <w:rFonts w:ascii="Century Gothic" w:hAnsi="Century Gothic"/>
          <w:sz w:val="26"/>
          <w:szCs w:val="24"/>
        </w:rPr>
        <w:t xml:space="preserve">ll. </w:t>
      </w:r>
      <w:r w:rsidR="00C80BD6">
        <w:rPr>
          <w:rFonts w:ascii="Century Gothic" w:hAnsi="Century Gothic"/>
          <w:sz w:val="26"/>
          <w:szCs w:val="24"/>
        </w:rPr>
        <w:t xml:space="preserve"> </w:t>
      </w:r>
      <w:r w:rsidRPr="00D20C15">
        <w:rPr>
          <w:rFonts w:ascii="Century Gothic" w:hAnsi="Century Gothic"/>
          <w:sz w:val="26"/>
          <w:szCs w:val="24"/>
        </w:rPr>
        <w:t xml:space="preserve">This action therefore falls under section 64 </w:t>
      </w:r>
      <w:r w:rsidR="00C80BD6">
        <w:rPr>
          <w:rFonts w:ascii="Century Gothic" w:hAnsi="Century Gothic"/>
          <w:sz w:val="26"/>
          <w:szCs w:val="24"/>
        </w:rPr>
        <w:t>(</w:t>
      </w:r>
      <w:r w:rsidRPr="00D20C15">
        <w:rPr>
          <w:rFonts w:ascii="Century Gothic" w:hAnsi="Century Gothic"/>
          <w:sz w:val="26"/>
          <w:szCs w:val="24"/>
        </w:rPr>
        <w:t xml:space="preserve">a) which is under part seven </w:t>
      </w:r>
      <w:r w:rsidR="00AC2D60">
        <w:rPr>
          <w:rFonts w:ascii="Century Gothic" w:hAnsi="Century Gothic"/>
          <w:sz w:val="26"/>
          <w:szCs w:val="24"/>
        </w:rPr>
        <w:t xml:space="preserve">of the Act </w:t>
      </w:r>
      <w:r w:rsidRPr="00D20C15">
        <w:rPr>
          <w:rFonts w:ascii="Century Gothic" w:hAnsi="Century Gothic"/>
          <w:sz w:val="26"/>
          <w:szCs w:val="24"/>
        </w:rPr>
        <w:t xml:space="preserve">headed </w:t>
      </w:r>
      <w:r w:rsidR="00AC2D60">
        <w:rPr>
          <w:rFonts w:ascii="Century Gothic" w:hAnsi="Century Gothic"/>
          <w:sz w:val="26"/>
          <w:szCs w:val="24"/>
        </w:rPr>
        <w:t>‘</w:t>
      </w:r>
      <w:r w:rsidRPr="00D20C15">
        <w:rPr>
          <w:rFonts w:ascii="Century Gothic" w:hAnsi="Century Gothic"/>
          <w:sz w:val="26"/>
          <w:szCs w:val="24"/>
        </w:rPr>
        <w:t>general</w:t>
      </w:r>
      <w:r w:rsidR="00AC2D60">
        <w:rPr>
          <w:rFonts w:ascii="Century Gothic" w:hAnsi="Century Gothic"/>
          <w:sz w:val="26"/>
          <w:szCs w:val="24"/>
        </w:rPr>
        <w:t>’</w:t>
      </w:r>
      <w:r w:rsidRPr="00D20C15">
        <w:rPr>
          <w:rFonts w:ascii="Century Gothic" w:hAnsi="Century Gothic"/>
          <w:sz w:val="26"/>
          <w:szCs w:val="24"/>
        </w:rPr>
        <w:t xml:space="preserve"> and not part three for which section 22 provides the time limitation of six</w:t>
      </w:r>
      <w:r w:rsidR="00C80BD6">
        <w:rPr>
          <w:rFonts w:ascii="Century Gothic" w:hAnsi="Century Gothic"/>
          <w:sz w:val="26"/>
          <w:szCs w:val="24"/>
        </w:rPr>
        <w:t xml:space="preserve"> months</w:t>
      </w:r>
      <w:r w:rsidRPr="00D20C15">
        <w:rPr>
          <w:rFonts w:ascii="Century Gothic" w:hAnsi="Century Gothic"/>
          <w:sz w:val="26"/>
          <w:szCs w:val="24"/>
        </w:rPr>
        <w:t xml:space="preserve">.  It therefore follows that this application for nullification </w:t>
      </w:r>
      <w:r w:rsidR="00D45083" w:rsidRPr="00D20C15">
        <w:rPr>
          <w:rFonts w:ascii="Century Gothic" w:hAnsi="Century Gothic"/>
          <w:sz w:val="26"/>
          <w:szCs w:val="24"/>
        </w:rPr>
        <w:t>of a</w:t>
      </w:r>
      <w:r w:rsidRPr="00D20C15">
        <w:rPr>
          <w:rFonts w:ascii="Century Gothic" w:hAnsi="Century Gothic"/>
          <w:sz w:val="26"/>
          <w:szCs w:val="24"/>
        </w:rPr>
        <w:t xml:space="preserve"> </w:t>
      </w:r>
      <w:r w:rsidR="00AC2D60" w:rsidRPr="00D20C15">
        <w:rPr>
          <w:rFonts w:ascii="Century Gothic" w:hAnsi="Century Gothic"/>
          <w:sz w:val="26"/>
          <w:szCs w:val="24"/>
        </w:rPr>
        <w:t>W</w:t>
      </w:r>
      <w:r w:rsidRPr="00D20C15">
        <w:rPr>
          <w:rFonts w:ascii="Century Gothic" w:hAnsi="Century Gothic"/>
          <w:sz w:val="26"/>
          <w:szCs w:val="24"/>
        </w:rPr>
        <w:t xml:space="preserve">ill </w:t>
      </w:r>
      <w:r w:rsidR="00D45083" w:rsidRPr="00D20C15">
        <w:rPr>
          <w:rFonts w:ascii="Century Gothic" w:hAnsi="Century Gothic"/>
          <w:sz w:val="26"/>
          <w:szCs w:val="24"/>
        </w:rPr>
        <w:t>is</w:t>
      </w:r>
      <w:r w:rsidRPr="00D20C15">
        <w:rPr>
          <w:rFonts w:ascii="Century Gothic" w:hAnsi="Century Gothic"/>
          <w:sz w:val="26"/>
          <w:szCs w:val="24"/>
        </w:rPr>
        <w:t xml:space="preserve"> not subject to section 22 and is therefore not statute barred.  Section 20 of the </w:t>
      </w:r>
      <w:r w:rsidR="00AC2D60" w:rsidRPr="00D20C15">
        <w:rPr>
          <w:rFonts w:ascii="Century Gothic" w:hAnsi="Century Gothic"/>
          <w:sz w:val="26"/>
          <w:szCs w:val="24"/>
        </w:rPr>
        <w:t xml:space="preserve"> Limitation </w:t>
      </w:r>
      <w:r w:rsidRPr="00D20C15">
        <w:rPr>
          <w:rFonts w:ascii="Century Gothic" w:hAnsi="Century Gothic"/>
          <w:sz w:val="26"/>
          <w:szCs w:val="24"/>
        </w:rPr>
        <w:t xml:space="preserve">of </w:t>
      </w:r>
      <w:r w:rsidR="00D45083" w:rsidRPr="00D20C15">
        <w:rPr>
          <w:rFonts w:ascii="Century Gothic" w:hAnsi="Century Gothic"/>
          <w:sz w:val="26"/>
          <w:szCs w:val="24"/>
        </w:rPr>
        <w:t xml:space="preserve">Actions Act </w:t>
      </w:r>
      <w:r w:rsidRPr="00D20C15">
        <w:rPr>
          <w:rFonts w:ascii="Century Gothic" w:hAnsi="Century Gothic"/>
          <w:sz w:val="26"/>
          <w:szCs w:val="24"/>
        </w:rPr>
        <w:t xml:space="preserve">1939 provides for a twelve (12) year period of </w:t>
      </w:r>
      <w:r w:rsidR="003B44DD" w:rsidRPr="00D20C15">
        <w:rPr>
          <w:rFonts w:ascii="Century Gothic" w:hAnsi="Century Gothic"/>
          <w:sz w:val="26"/>
          <w:szCs w:val="24"/>
        </w:rPr>
        <w:t>Limit</w:t>
      </w:r>
      <w:r w:rsidRPr="00D20C15">
        <w:rPr>
          <w:rFonts w:ascii="Century Gothic" w:hAnsi="Century Gothic"/>
          <w:sz w:val="26"/>
          <w:szCs w:val="24"/>
        </w:rPr>
        <w:t xml:space="preserve">ation for </w:t>
      </w:r>
      <w:r w:rsidR="00833AA2" w:rsidRPr="00D20C15">
        <w:rPr>
          <w:rFonts w:ascii="Century Gothic" w:hAnsi="Century Gothic"/>
          <w:sz w:val="26"/>
          <w:szCs w:val="24"/>
        </w:rPr>
        <w:t>actions</w:t>
      </w:r>
      <w:r w:rsidRPr="00D20C15">
        <w:rPr>
          <w:rFonts w:ascii="Century Gothic" w:hAnsi="Century Gothic"/>
          <w:sz w:val="26"/>
          <w:szCs w:val="24"/>
        </w:rPr>
        <w:t xml:space="preserve"> where one is claiming personal estate of a deceased person whether under a </w:t>
      </w:r>
      <w:r w:rsidR="003B44DD" w:rsidRPr="00D20C15">
        <w:rPr>
          <w:rFonts w:ascii="Century Gothic" w:hAnsi="Century Gothic"/>
          <w:sz w:val="26"/>
          <w:szCs w:val="24"/>
        </w:rPr>
        <w:t>W</w:t>
      </w:r>
      <w:r w:rsidRPr="00D20C15">
        <w:rPr>
          <w:rFonts w:ascii="Century Gothic" w:hAnsi="Century Gothic"/>
          <w:sz w:val="26"/>
          <w:szCs w:val="24"/>
        </w:rPr>
        <w:t xml:space="preserve">ill or intestacy. </w:t>
      </w:r>
    </w:p>
    <w:p w:rsidR="00BE6C43" w:rsidRPr="00D20C15" w:rsidRDefault="00BE6C43" w:rsidP="00FD35A0">
      <w:pPr>
        <w:pStyle w:val="NoSpacing"/>
        <w:jc w:val="both"/>
        <w:rPr>
          <w:rFonts w:ascii="Century Gothic" w:hAnsi="Century Gothic"/>
          <w:sz w:val="26"/>
          <w:szCs w:val="24"/>
        </w:rPr>
      </w:pPr>
    </w:p>
    <w:p w:rsidR="00BE6C43" w:rsidRPr="00D20C15" w:rsidRDefault="00BE6C43" w:rsidP="00E6239E">
      <w:pPr>
        <w:pStyle w:val="NoSpacing"/>
        <w:spacing w:line="360" w:lineRule="auto"/>
        <w:jc w:val="both"/>
        <w:rPr>
          <w:rFonts w:ascii="Century Gothic" w:hAnsi="Century Gothic"/>
          <w:sz w:val="26"/>
          <w:szCs w:val="24"/>
        </w:rPr>
      </w:pPr>
      <w:r w:rsidRPr="00D20C15">
        <w:rPr>
          <w:rFonts w:ascii="Century Gothic" w:hAnsi="Century Gothic"/>
          <w:sz w:val="26"/>
          <w:szCs w:val="24"/>
        </w:rPr>
        <w:t>I therefore find no merit in the second preliminary issue.  The issue also fails and is dismissed.</w:t>
      </w:r>
      <w:r w:rsidR="00524D6F">
        <w:rPr>
          <w:rFonts w:ascii="Century Gothic" w:hAnsi="Century Gothic"/>
          <w:sz w:val="26"/>
          <w:szCs w:val="24"/>
        </w:rPr>
        <w:t xml:space="preserve">  </w:t>
      </w:r>
    </w:p>
    <w:p w:rsidR="00BE6C43" w:rsidRPr="00D20C15" w:rsidRDefault="00BE6C43" w:rsidP="00FD35A0">
      <w:pPr>
        <w:pStyle w:val="NoSpacing"/>
        <w:jc w:val="both"/>
        <w:rPr>
          <w:rFonts w:ascii="Century Gothic" w:hAnsi="Century Gothic"/>
          <w:sz w:val="26"/>
          <w:szCs w:val="24"/>
        </w:rPr>
      </w:pPr>
    </w:p>
    <w:p w:rsidR="00BE6C43" w:rsidRPr="00D20C15" w:rsidRDefault="00BE6C43" w:rsidP="00E6239E">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The third preliminary issue was that the </w:t>
      </w:r>
      <w:r w:rsidR="008053F0" w:rsidRPr="00D20C15">
        <w:rPr>
          <w:rFonts w:ascii="Century Gothic" w:hAnsi="Century Gothic"/>
          <w:sz w:val="26"/>
          <w:szCs w:val="24"/>
        </w:rPr>
        <w:t>Applica</w:t>
      </w:r>
      <w:r w:rsidRPr="00D20C15">
        <w:rPr>
          <w:rFonts w:ascii="Century Gothic" w:hAnsi="Century Gothic"/>
          <w:sz w:val="26"/>
          <w:szCs w:val="24"/>
        </w:rPr>
        <w:t xml:space="preserve">nts reference to the criminal matter before </w:t>
      </w:r>
      <w:r w:rsidR="00361E50" w:rsidRPr="00D20C15">
        <w:rPr>
          <w:rFonts w:ascii="Century Gothic" w:hAnsi="Century Gothic"/>
          <w:sz w:val="26"/>
          <w:szCs w:val="24"/>
        </w:rPr>
        <w:t xml:space="preserve">the </w:t>
      </w:r>
      <w:r w:rsidR="008053F0" w:rsidRPr="00D20C15">
        <w:rPr>
          <w:rFonts w:ascii="Century Gothic" w:hAnsi="Century Gothic"/>
          <w:sz w:val="26"/>
          <w:szCs w:val="24"/>
        </w:rPr>
        <w:t xml:space="preserve">Ndola Subordinate Court </w:t>
      </w:r>
      <w:r w:rsidR="00361E50" w:rsidRPr="00D20C15">
        <w:rPr>
          <w:rFonts w:ascii="Century Gothic" w:hAnsi="Century Gothic"/>
          <w:sz w:val="26"/>
          <w:szCs w:val="24"/>
        </w:rPr>
        <w:t xml:space="preserve">under cause no </w:t>
      </w:r>
      <w:r w:rsidR="008053F0" w:rsidRPr="008053F0">
        <w:rPr>
          <w:rFonts w:ascii="Century Gothic" w:hAnsi="Century Gothic"/>
          <w:b/>
          <w:i/>
          <w:sz w:val="26"/>
          <w:szCs w:val="24"/>
          <w:u w:val="single"/>
        </w:rPr>
        <w:t>SSN</w:t>
      </w:r>
      <w:r w:rsidR="00361E50" w:rsidRPr="008053F0">
        <w:rPr>
          <w:rFonts w:ascii="Century Gothic" w:hAnsi="Century Gothic"/>
          <w:b/>
          <w:i/>
          <w:sz w:val="26"/>
          <w:szCs w:val="24"/>
          <w:u w:val="single"/>
        </w:rPr>
        <w:t>/38/12</w:t>
      </w:r>
      <w:r w:rsidR="00361E50" w:rsidRPr="00D20C15">
        <w:rPr>
          <w:rFonts w:ascii="Century Gothic" w:hAnsi="Century Gothic"/>
          <w:sz w:val="26"/>
          <w:szCs w:val="24"/>
        </w:rPr>
        <w:t xml:space="preserve"> was irregular and an unacceptable pleading which should be expunged from the affidavit.  This was premised on the authorities of </w:t>
      </w:r>
      <w:r w:rsidR="00361E50" w:rsidRPr="008053F0">
        <w:rPr>
          <w:rFonts w:ascii="Century Gothic" w:hAnsi="Century Gothic"/>
          <w:b/>
          <w:i/>
          <w:sz w:val="26"/>
          <w:szCs w:val="24"/>
          <w:u w:val="single"/>
        </w:rPr>
        <w:t xml:space="preserve">Kabwe Transport </w:t>
      </w:r>
      <w:r w:rsidR="008053F0" w:rsidRPr="008053F0">
        <w:rPr>
          <w:rFonts w:ascii="Century Gothic" w:hAnsi="Century Gothic"/>
          <w:b/>
          <w:i/>
          <w:sz w:val="26"/>
          <w:szCs w:val="24"/>
          <w:u w:val="single"/>
        </w:rPr>
        <w:t xml:space="preserve">Limited </w:t>
      </w:r>
      <w:r w:rsidR="00361E50" w:rsidRPr="008053F0">
        <w:rPr>
          <w:rFonts w:ascii="Century Gothic" w:hAnsi="Century Gothic"/>
          <w:b/>
          <w:i/>
          <w:sz w:val="26"/>
          <w:szCs w:val="24"/>
          <w:u w:val="single"/>
        </w:rPr>
        <w:t>v Press</w:t>
      </w:r>
      <w:r w:rsidR="008053F0" w:rsidRPr="008053F0">
        <w:rPr>
          <w:rFonts w:ascii="Century Gothic" w:hAnsi="Century Gothic"/>
          <w:b/>
          <w:i/>
          <w:sz w:val="26"/>
          <w:szCs w:val="24"/>
          <w:u w:val="single"/>
        </w:rPr>
        <w:t xml:space="preserve"> Transport </w:t>
      </w:r>
      <w:r w:rsidR="008053F0">
        <w:rPr>
          <w:rFonts w:ascii="Century Gothic" w:hAnsi="Century Gothic"/>
          <w:b/>
          <w:i/>
          <w:sz w:val="26"/>
          <w:szCs w:val="24"/>
          <w:u w:val="single"/>
        </w:rPr>
        <w:t>(</w:t>
      </w:r>
      <w:r w:rsidR="00361E50" w:rsidRPr="008053F0">
        <w:rPr>
          <w:rFonts w:ascii="Century Gothic" w:hAnsi="Century Gothic"/>
          <w:b/>
          <w:i/>
          <w:sz w:val="26"/>
          <w:szCs w:val="24"/>
          <w:u w:val="single"/>
        </w:rPr>
        <w:t>1984) ZR 51 (SC)</w:t>
      </w:r>
      <w:r w:rsidR="00361E50" w:rsidRPr="00D20C15">
        <w:rPr>
          <w:rFonts w:ascii="Century Gothic" w:hAnsi="Century Gothic"/>
          <w:sz w:val="26"/>
          <w:szCs w:val="24"/>
        </w:rPr>
        <w:t xml:space="preserve"> and </w:t>
      </w:r>
      <w:r w:rsidR="008053F0" w:rsidRPr="008053F0">
        <w:rPr>
          <w:rFonts w:ascii="Century Gothic" w:hAnsi="Century Gothic"/>
          <w:b/>
          <w:i/>
          <w:sz w:val="26"/>
          <w:szCs w:val="24"/>
          <w:u w:val="single"/>
        </w:rPr>
        <w:t>Hollin</w:t>
      </w:r>
      <w:r w:rsidR="000E0563">
        <w:rPr>
          <w:rFonts w:ascii="Century Gothic" w:hAnsi="Century Gothic"/>
          <w:b/>
          <w:i/>
          <w:sz w:val="26"/>
          <w:szCs w:val="24"/>
          <w:u w:val="single"/>
        </w:rPr>
        <w:t>g</w:t>
      </w:r>
      <w:r w:rsidR="008053F0" w:rsidRPr="008053F0">
        <w:rPr>
          <w:rFonts w:ascii="Century Gothic" w:hAnsi="Century Gothic"/>
          <w:b/>
          <w:i/>
          <w:sz w:val="26"/>
          <w:szCs w:val="24"/>
          <w:u w:val="single"/>
        </w:rPr>
        <w:t xml:space="preserve">ton </w:t>
      </w:r>
      <w:r w:rsidR="000E0563">
        <w:rPr>
          <w:rFonts w:ascii="Century Gothic" w:hAnsi="Century Gothic"/>
          <w:b/>
          <w:i/>
          <w:sz w:val="26"/>
          <w:szCs w:val="24"/>
          <w:u w:val="single"/>
        </w:rPr>
        <w:t xml:space="preserve">v </w:t>
      </w:r>
      <w:r w:rsidR="00361E50" w:rsidRPr="008053F0">
        <w:rPr>
          <w:rFonts w:ascii="Century Gothic" w:hAnsi="Century Gothic"/>
          <w:b/>
          <w:i/>
          <w:sz w:val="26"/>
          <w:szCs w:val="24"/>
          <w:u w:val="single"/>
        </w:rPr>
        <w:t>F</w:t>
      </w:r>
      <w:r w:rsidR="008053F0" w:rsidRPr="008053F0">
        <w:rPr>
          <w:rFonts w:ascii="Century Gothic" w:hAnsi="Century Gothic"/>
          <w:b/>
          <w:i/>
          <w:sz w:val="26"/>
          <w:szCs w:val="24"/>
          <w:u w:val="single"/>
        </w:rPr>
        <w:t xml:space="preserve">. </w:t>
      </w:r>
      <w:r w:rsidR="00361E50" w:rsidRPr="008053F0">
        <w:rPr>
          <w:rFonts w:ascii="Century Gothic" w:hAnsi="Century Gothic"/>
          <w:b/>
          <w:i/>
          <w:sz w:val="26"/>
          <w:szCs w:val="24"/>
          <w:u w:val="single"/>
        </w:rPr>
        <w:t xml:space="preserve">Hewthorn </w:t>
      </w:r>
      <w:r w:rsidR="000E0563">
        <w:rPr>
          <w:rFonts w:ascii="Century Gothic" w:hAnsi="Century Gothic"/>
          <w:b/>
          <w:i/>
          <w:sz w:val="26"/>
          <w:szCs w:val="24"/>
          <w:u w:val="single"/>
        </w:rPr>
        <w:t>a</w:t>
      </w:r>
      <w:r w:rsidR="008053F0" w:rsidRPr="008053F0">
        <w:rPr>
          <w:rFonts w:ascii="Century Gothic" w:hAnsi="Century Gothic"/>
          <w:b/>
          <w:i/>
          <w:sz w:val="26"/>
          <w:szCs w:val="24"/>
          <w:u w:val="single"/>
        </w:rPr>
        <w:t xml:space="preserve">nd Company Limited (1943) 2 </w:t>
      </w:r>
      <w:r w:rsidR="00361E50" w:rsidRPr="008053F0">
        <w:rPr>
          <w:rFonts w:ascii="Century Gothic" w:hAnsi="Century Gothic"/>
          <w:b/>
          <w:i/>
          <w:sz w:val="26"/>
          <w:szCs w:val="24"/>
          <w:u w:val="single"/>
        </w:rPr>
        <w:t xml:space="preserve">All </w:t>
      </w:r>
      <w:r w:rsidR="008053F0" w:rsidRPr="008053F0">
        <w:rPr>
          <w:rFonts w:ascii="Century Gothic" w:hAnsi="Century Gothic"/>
          <w:b/>
          <w:i/>
          <w:sz w:val="26"/>
          <w:szCs w:val="24"/>
          <w:u w:val="single"/>
        </w:rPr>
        <w:t>ER 34</w:t>
      </w:r>
      <w:r w:rsidR="008053F0" w:rsidRPr="00D20C15">
        <w:rPr>
          <w:rFonts w:ascii="Century Gothic" w:hAnsi="Century Gothic"/>
          <w:sz w:val="26"/>
          <w:szCs w:val="24"/>
        </w:rPr>
        <w:t xml:space="preserve"> </w:t>
      </w:r>
      <w:r w:rsidR="00361E50" w:rsidRPr="00D20C15">
        <w:rPr>
          <w:rFonts w:ascii="Century Gothic" w:hAnsi="Century Gothic"/>
          <w:sz w:val="26"/>
          <w:szCs w:val="24"/>
        </w:rPr>
        <w:t xml:space="preserve">that evidence from criminal proceedings is </w:t>
      </w:r>
      <w:r w:rsidR="0006792F">
        <w:rPr>
          <w:rFonts w:ascii="Century Gothic" w:hAnsi="Century Gothic"/>
          <w:sz w:val="26"/>
          <w:szCs w:val="24"/>
        </w:rPr>
        <w:t>not</w:t>
      </w:r>
      <w:r w:rsidR="00361E50" w:rsidRPr="00D20C15">
        <w:rPr>
          <w:rFonts w:ascii="Century Gothic" w:hAnsi="Century Gothic"/>
          <w:sz w:val="26"/>
          <w:szCs w:val="24"/>
        </w:rPr>
        <w:t xml:space="preserve"> admissible in civil proceedings.  The Applicants response was that they had referred to the criminal proceedings for the court to take judicial notice of the criminal proceedings for forgery.</w:t>
      </w:r>
    </w:p>
    <w:p w:rsidR="005553A7" w:rsidRPr="00D20C15" w:rsidRDefault="005553A7" w:rsidP="00FD35A0">
      <w:pPr>
        <w:pStyle w:val="NoSpacing"/>
        <w:jc w:val="both"/>
        <w:rPr>
          <w:rFonts w:ascii="Century Gothic" w:hAnsi="Century Gothic"/>
          <w:sz w:val="26"/>
          <w:szCs w:val="24"/>
        </w:rPr>
      </w:pPr>
    </w:p>
    <w:p w:rsidR="005553A7" w:rsidRPr="00D20C15" w:rsidRDefault="005553A7" w:rsidP="00E6239E">
      <w:pPr>
        <w:pStyle w:val="NoSpacing"/>
        <w:spacing w:line="360" w:lineRule="auto"/>
        <w:jc w:val="both"/>
        <w:rPr>
          <w:rFonts w:ascii="Century Gothic" w:hAnsi="Century Gothic"/>
          <w:sz w:val="26"/>
          <w:szCs w:val="24"/>
        </w:rPr>
      </w:pPr>
      <w:r w:rsidRPr="00D20C15">
        <w:rPr>
          <w:rFonts w:ascii="Century Gothic" w:hAnsi="Century Gothic"/>
          <w:sz w:val="26"/>
          <w:szCs w:val="24"/>
        </w:rPr>
        <w:t>I have considered the parties submission</w:t>
      </w:r>
      <w:r w:rsidR="00D119B5">
        <w:rPr>
          <w:rFonts w:ascii="Century Gothic" w:hAnsi="Century Gothic"/>
          <w:sz w:val="26"/>
          <w:szCs w:val="24"/>
        </w:rPr>
        <w:t>s</w:t>
      </w:r>
      <w:r w:rsidRPr="00D20C15">
        <w:rPr>
          <w:rFonts w:ascii="Century Gothic" w:hAnsi="Century Gothic"/>
          <w:sz w:val="26"/>
          <w:szCs w:val="24"/>
        </w:rPr>
        <w:t xml:space="preserve"> and the </w:t>
      </w:r>
      <w:r w:rsidR="00D119B5" w:rsidRPr="00D119B5">
        <w:rPr>
          <w:rFonts w:ascii="Century Gothic" w:hAnsi="Century Gothic"/>
          <w:b/>
          <w:i/>
          <w:sz w:val="26"/>
          <w:szCs w:val="24"/>
          <w:u w:val="single"/>
        </w:rPr>
        <w:t>Kabwe Transport Limited</w:t>
      </w:r>
      <w:r w:rsidR="00524D6F">
        <w:rPr>
          <w:rFonts w:ascii="Century Gothic" w:hAnsi="Century Gothic"/>
          <w:b/>
          <w:i/>
          <w:sz w:val="26"/>
          <w:szCs w:val="24"/>
          <w:u w:val="single"/>
          <w:vertAlign w:val="superscript"/>
        </w:rPr>
        <w:t>4</w:t>
      </w:r>
      <w:r w:rsidR="00D119B5" w:rsidRPr="00D20C15">
        <w:rPr>
          <w:rFonts w:ascii="Century Gothic" w:hAnsi="Century Gothic"/>
          <w:sz w:val="26"/>
          <w:szCs w:val="24"/>
        </w:rPr>
        <w:t xml:space="preserve"> </w:t>
      </w:r>
      <w:r w:rsidRPr="00D20C15">
        <w:rPr>
          <w:rFonts w:ascii="Century Gothic" w:hAnsi="Century Gothic"/>
          <w:sz w:val="26"/>
          <w:szCs w:val="24"/>
        </w:rPr>
        <w:t xml:space="preserve">case which in effect stated that the </w:t>
      </w:r>
      <w:r w:rsidRPr="00524D6F">
        <w:rPr>
          <w:rFonts w:ascii="Century Gothic" w:hAnsi="Century Gothic"/>
          <w:i/>
          <w:sz w:val="26"/>
          <w:szCs w:val="24"/>
        </w:rPr>
        <w:t>ratio decidendi</w:t>
      </w:r>
      <w:r w:rsidRPr="00D20C15">
        <w:rPr>
          <w:rFonts w:ascii="Century Gothic" w:hAnsi="Century Gothic"/>
          <w:sz w:val="26"/>
          <w:szCs w:val="24"/>
        </w:rPr>
        <w:t xml:space="preserve"> in the </w:t>
      </w:r>
      <w:r w:rsidRPr="00524D6F">
        <w:rPr>
          <w:rFonts w:ascii="Century Gothic" w:hAnsi="Century Gothic"/>
          <w:b/>
          <w:i/>
          <w:sz w:val="26"/>
          <w:szCs w:val="24"/>
          <w:u w:val="single"/>
        </w:rPr>
        <w:t>Hollington</w:t>
      </w:r>
      <w:r w:rsidR="00524D6F">
        <w:rPr>
          <w:rFonts w:ascii="Century Gothic" w:hAnsi="Century Gothic"/>
          <w:sz w:val="26"/>
          <w:szCs w:val="24"/>
          <w:vertAlign w:val="superscript"/>
        </w:rPr>
        <w:t>5</w:t>
      </w:r>
      <w:r w:rsidRPr="00D20C15">
        <w:rPr>
          <w:rFonts w:ascii="Century Gothic" w:hAnsi="Century Gothic"/>
          <w:sz w:val="26"/>
          <w:szCs w:val="24"/>
        </w:rPr>
        <w:t xml:space="preserve"> case was not applicable to Zambia in view of the </w:t>
      </w:r>
      <w:r w:rsidR="00D859E7" w:rsidRPr="00D20C15">
        <w:rPr>
          <w:rFonts w:ascii="Century Gothic" w:hAnsi="Century Gothic"/>
          <w:sz w:val="26"/>
          <w:szCs w:val="24"/>
        </w:rPr>
        <w:t>specific</w:t>
      </w:r>
      <w:r w:rsidRPr="00D20C15">
        <w:rPr>
          <w:rFonts w:ascii="Century Gothic" w:hAnsi="Century Gothic"/>
          <w:sz w:val="26"/>
          <w:szCs w:val="24"/>
        </w:rPr>
        <w:t xml:space="preserve"> provision</w:t>
      </w:r>
      <w:r w:rsidR="00D119B5">
        <w:rPr>
          <w:rFonts w:ascii="Century Gothic" w:hAnsi="Century Gothic"/>
          <w:sz w:val="26"/>
          <w:szCs w:val="24"/>
        </w:rPr>
        <w:t>s</w:t>
      </w:r>
      <w:r w:rsidRPr="00D20C15">
        <w:rPr>
          <w:rFonts w:ascii="Century Gothic" w:hAnsi="Century Gothic"/>
          <w:sz w:val="26"/>
          <w:szCs w:val="24"/>
        </w:rPr>
        <w:t xml:space="preserve"> in the </w:t>
      </w:r>
      <w:r w:rsidR="00D119B5" w:rsidRPr="00D20C15">
        <w:rPr>
          <w:rFonts w:ascii="Century Gothic" w:hAnsi="Century Gothic"/>
          <w:sz w:val="26"/>
          <w:szCs w:val="24"/>
        </w:rPr>
        <w:t xml:space="preserve">Evidence Act Cap </w:t>
      </w:r>
      <w:r w:rsidRPr="00D20C15">
        <w:rPr>
          <w:rFonts w:ascii="Century Gothic" w:hAnsi="Century Gothic"/>
          <w:sz w:val="26"/>
          <w:szCs w:val="24"/>
        </w:rPr>
        <w:t xml:space="preserve">43 of the </w:t>
      </w:r>
      <w:r w:rsidR="00D119B5" w:rsidRPr="00D20C15">
        <w:rPr>
          <w:rFonts w:ascii="Century Gothic" w:hAnsi="Century Gothic"/>
          <w:sz w:val="26"/>
          <w:szCs w:val="24"/>
        </w:rPr>
        <w:t>Law</w:t>
      </w:r>
      <w:r w:rsidRPr="00D20C15">
        <w:rPr>
          <w:rFonts w:ascii="Century Gothic" w:hAnsi="Century Gothic"/>
          <w:sz w:val="26"/>
          <w:szCs w:val="24"/>
        </w:rPr>
        <w:t xml:space="preserve">s of Zambia.  The </w:t>
      </w:r>
      <w:r w:rsidR="00C51BE3" w:rsidRPr="00D20C15">
        <w:rPr>
          <w:rFonts w:ascii="Century Gothic" w:hAnsi="Century Gothic"/>
          <w:sz w:val="26"/>
          <w:szCs w:val="24"/>
        </w:rPr>
        <w:t xml:space="preserve">Supreme Court </w:t>
      </w:r>
      <w:r w:rsidRPr="00D20C15">
        <w:rPr>
          <w:rFonts w:ascii="Century Gothic" w:hAnsi="Century Gothic"/>
          <w:sz w:val="26"/>
          <w:szCs w:val="24"/>
        </w:rPr>
        <w:t>went</w:t>
      </w:r>
      <w:r w:rsidR="000056AA" w:rsidRPr="00D20C15">
        <w:rPr>
          <w:rFonts w:ascii="Century Gothic" w:hAnsi="Century Gothic"/>
          <w:sz w:val="26"/>
          <w:szCs w:val="24"/>
        </w:rPr>
        <w:t xml:space="preserve"> on to state </w:t>
      </w:r>
      <w:r w:rsidR="00004E66">
        <w:rPr>
          <w:rFonts w:ascii="Century Gothic" w:hAnsi="Century Gothic"/>
          <w:i/>
          <w:sz w:val="26"/>
          <w:szCs w:val="24"/>
        </w:rPr>
        <w:t>o</w:t>
      </w:r>
      <w:r w:rsidR="00524D6F" w:rsidRPr="00524D6F">
        <w:rPr>
          <w:rFonts w:ascii="Century Gothic" w:hAnsi="Century Gothic"/>
          <w:i/>
          <w:sz w:val="26"/>
          <w:szCs w:val="24"/>
        </w:rPr>
        <w:t>biter</w:t>
      </w:r>
      <w:r w:rsidR="000056AA" w:rsidRPr="00D20C15">
        <w:rPr>
          <w:rFonts w:ascii="Century Gothic" w:hAnsi="Century Gothic"/>
          <w:sz w:val="26"/>
          <w:szCs w:val="24"/>
        </w:rPr>
        <w:t xml:space="preserve"> that our legislation </w:t>
      </w:r>
      <w:r w:rsidR="00C51BE3" w:rsidRPr="00D20C15">
        <w:rPr>
          <w:rFonts w:ascii="Century Gothic" w:hAnsi="Century Gothic"/>
          <w:sz w:val="26"/>
          <w:szCs w:val="24"/>
        </w:rPr>
        <w:t>has no</w:t>
      </w:r>
      <w:r w:rsidR="000056AA" w:rsidRPr="00D20C15">
        <w:rPr>
          <w:rFonts w:ascii="Century Gothic" w:hAnsi="Century Gothic"/>
          <w:sz w:val="26"/>
          <w:szCs w:val="24"/>
        </w:rPr>
        <w:t xml:space="preserve"> </w:t>
      </w:r>
      <w:r w:rsidR="00C51BE3" w:rsidRPr="00D20C15">
        <w:rPr>
          <w:rFonts w:ascii="Century Gothic" w:hAnsi="Century Gothic"/>
          <w:sz w:val="26"/>
          <w:szCs w:val="24"/>
        </w:rPr>
        <w:t>provisions</w:t>
      </w:r>
      <w:r w:rsidR="000056AA" w:rsidRPr="00D20C15">
        <w:rPr>
          <w:rFonts w:ascii="Century Gothic" w:hAnsi="Century Gothic"/>
          <w:sz w:val="26"/>
          <w:szCs w:val="24"/>
        </w:rPr>
        <w:t xml:space="preserve"> for conviction</w:t>
      </w:r>
      <w:r w:rsidR="00524D6F">
        <w:rPr>
          <w:rFonts w:ascii="Century Gothic" w:hAnsi="Century Gothic"/>
          <w:sz w:val="26"/>
          <w:szCs w:val="24"/>
        </w:rPr>
        <w:t>s</w:t>
      </w:r>
      <w:r w:rsidR="000056AA" w:rsidRPr="00D20C15">
        <w:rPr>
          <w:rFonts w:ascii="Century Gothic" w:hAnsi="Century Gothic"/>
          <w:sz w:val="26"/>
          <w:szCs w:val="24"/>
        </w:rPr>
        <w:t xml:space="preserve"> in criminal proceedings</w:t>
      </w:r>
      <w:r w:rsidR="00C51BE3">
        <w:rPr>
          <w:rFonts w:ascii="Century Gothic" w:hAnsi="Century Gothic"/>
          <w:sz w:val="26"/>
          <w:szCs w:val="24"/>
        </w:rPr>
        <w:t xml:space="preserve"> to be referred to or taken note</w:t>
      </w:r>
      <w:r w:rsidR="00524D6F">
        <w:rPr>
          <w:rFonts w:ascii="Century Gothic" w:hAnsi="Century Gothic"/>
          <w:sz w:val="26"/>
          <w:szCs w:val="24"/>
        </w:rPr>
        <w:t xml:space="preserve"> </w:t>
      </w:r>
      <w:r w:rsidR="00CD3BB1">
        <w:rPr>
          <w:rFonts w:ascii="Century Gothic" w:hAnsi="Century Gothic"/>
          <w:sz w:val="26"/>
          <w:szCs w:val="24"/>
        </w:rPr>
        <w:t>of in</w:t>
      </w:r>
      <w:r w:rsidR="00C51BE3">
        <w:rPr>
          <w:rFonts w:ascii="Century Gothic" w:hAnsi="Century Gothic"/>
          <w:sz w:val="26"/>
          <w:szCs w:val="24"/>
        </w:rPr>
        <w:t xml:space="preserve"> civil proceedings</w:t>
      </w:r>
      <w:r w:rsidR="000056AA" w:rsidRPr="00D20C15">
        <w:rPr>
          <w:rFonts w:ascii="Century Gothic" w:hAnsi="Century Gothic"/>
          <w:sz w:val="26"/>
          <w:szCs w:val="24"/>
        </w:rPr>
        <w:t>.  The effect is that the criminal and civil proceedings are independent of each other and in each case, evidence must be adduced as required and not by reference to the other proceedings.</w:t>
      </w:r>
    </w:p>
    <w:p w:rsidR="005B0E94" w:rsidRPr="00D20C15" w:rsidRDefault="005B0E94" w:rsidP="00FD35A0">
      <w:pPr>
        <w:pStyle w:val="NoSpacing"/>
        <w:jc w:val="both"/>
        <w:rPr>
          <w:rFonts w:ascii="Century Gothic" w:hAnsi="Century Gothic"/>
          <w:sz w:val="26"/>
          <w:szCs w:val="24"/>
        </w:rPr>
      </w:pPr>
    </w:p>
    <w:p w:rsidR="005B0E94" w:rsidRPr="00D20C15" w:rsidRDefault="005B0E94" w:rsidP="00E6239E">
      <w:pPr>
        <w:pStyle w:val="NoSpacing"/>
        <w:spacing w:line="360" w:lineRule="auto"/>
        <w:jc w:val="both"/>
        <w:rPr>
          <w:rFonts w:ascii="Century Gothic" w:hAnsi="Century Gothic"/>
          <w:sz w:val="26"/>
          <w:szCs w:val="24"/>
        </w:rPr>
      </w:pPr>
      <w:r w:rsidRPr="00D20C15">
        <w:rPr>
          <w:rFonts w:ascii="Century Gothic" w:hAnsi="Century Gothic"/>
          <w:sz w:val="26"/>
          <w:szCs w:val="24"/>
        </w:rPr>
        <w:t xml:space="preserve">The third preliminary issue is thus valid and </w:t>
      </w:r>
      <w:r w:rsidR="00D0683C" w:rsidRPr="00D20C15">
        <w:rPr>
          <w:rFonts w:ascii="Century Gothic" w:hAnsi="Century Gothic"/>
          <w:sz w:val="26"/>
          <w:szCs w:val="24"/>
        </w:rPr>
        <w:t>succeeds</w:t>
      </w:r>
      <w:r w:rsidRPr="00D20C15">
        <w:rPr>
          <w:rFonts w:ascii="Century Gothic" w:hAnsi="Century Gothic"/>
          <w:sz w:val="26"/>
          <w:szCs w:val="24"/>
        </w:rPr>
        <w:t xml:space="preserve">. The offending reference to the criminal proceedings under cause no. </w:t>
      </w:r>
      <w:r w:rsidRPr="006F6E0C">
        <w:rPr>
          <w:rFonts w:ascii="Century Gothic" w:hAnsi="Century Gothic"/>
          <w:b/>
          <w:i/>
          <w:sz w:val="26"/>
          <w:szCs w:val="24"/>
          <w:u w:val="single"/>
        </w:rPr>
        <w:t>SSN/38/12</w:t>
      </w:r>
      <w:r w:rsidR="00BE6ABD">
        <w:rPr>
          <w:rFonts w:ascii="Century Gothic" w:hAnsi="Century Gothic"/>
          <w:b/>
          <w:i/>
          <w:sz w:val="26"/>
          <w:szCs w:val="24"/>
          <w:u w:val="single"/>
        </w:rPr>
        <w:t>,</w:t>
      </w:r>
      <w:r w:rsidRPr="00D20C15">
        <w:rPr>
          <w:rFonts w:ascii="Century Gothic" w:hAnsi="Century Gothic"/>
          <w:sz w:val="26"/>
          <w:szCs w:val="24"/>
        </w:rPr>
        <w:t xml:space="preserve"> in particular</w:t>
      </w:r>
      <w:r w:rsidR="007E6210">
        <w:rPr>
          <w:rFonts w:ascii="Century Gothic" w:hAnsi="Century Gothic"/>
          <w:sz w:val="26"/>
          <w:szCs w:val="24"/>
        </w:rPr>
        <w:t>,</w:t>
      </w:r>
      <w:r w:rsidRPr="00D20C15">
        <w:rPr>
          <w:rFonts w:ascii="Century Gothic" w:hAnsi="Century Gothic"/>
          <w:sz w:val="26"/>
          <w:szCs w:val="24"/>
        </w:rPr>
        <w:t xml:space="preserve"> paragraph 23 of </w:t>
      </w:r>
      <w:r w:rsidR="00A3131D" w:rsidRPr="00D20C15">
        <w:rPr>
          <w:rFonts w:ascii="Century Gothic" w:hAnsi="Century Gothic"/>
          <w:sz w:val="26"/>
          <w:szCs w:val="24"/>
        </w:rPr>
        <w:t>the affidavit</w:t>
      </w:r>
      <w:r w:rsidR="006F6E0C">
        <w:rPr>
          <w:rFonts w:ascii="Century Gothic" w:hAnsi="Century Gothic"/>
          <w:sz w:val="26"/>
          <w:szCs w:val="24"/>
        </w:rPr>
        <w:t xml:space="preserve"> is support of </w:t>
      </w:r>
      <w:r w:rsidR="00BE6ABD">
        <w:rPr>
          <w:rFonts w:ascii="Century Gothic" w:hAnsi="Century Gothic"/>
          <w:sz w:val="26"/>
          <w:szCs w:val="24"/>
        </w:rPr>
        <w:t xml:space="preserve">Originating Summons </w:t>
      </w:r>
      <w:r w:rsidR="00BE6ABD" w:rsidRPr="00D20C15">
        <w:rPr>
          <w:rFonts w:ascii="Century Gothic" w:hAnsi="Century Gothic"/>
          <w:sz w:val="26"/>
          <w:szCs w:val="24"/>
        </w:rPr>
        <w:t xml:space="preserve"> </w:t>
      </w:r>
      <w:r w:rsidRPr="00D20C15">
        <w:rPr>
          <w:rFonts w:ascii="Century Gothic" w:hAnsi="Century Gothic"/>
          <w:sz w:val="26"/>
          <w:szCs w:val="24"/>
        </w:rPr>
        <w:t>dated 11</w:t>
      </w:r>
      <w:r w:rsidRPr="00D20C15">
        <w:rPr>
          <w:rFonts w:ascii="Century Gothic" w:hAnsi="Century Gothic"/>
          <w:sz w:val="26"/>
          <w:szCs w:val="24"/>
          <w:vertAlign w:val="superscript"/>
        </w:rPr>
        <w:t>th</w:t>
      </w:r>
      <w:r w:rsidRPr="00D20C15">
        <w:rPr>
          <w:rFonts w:ascii="Century Gothic" w:hAnsi="Century Gothic"/>
          <w:sz w:val="26"/>
          <w:szCs w:val="24"/>
        </w:rPr>
        <w:t xml:space="preserve"> December, 2012 is therefore </w:t>
      </w:r>
      <w:r w:rsidR="00A3131D" w:rsidRPr="00D20C15">
        <w:rPr>
          <w:rFonts w:ascii="Century Gothic" w:hAnsi="Century Gothic"/>
          <w:sz w:val="26"/>
          <w:szCs w:val="24"/>
        </w:rPr>
        <w:t>expunged</w:t>
      </w:r>
      <w:r w:rsidRPr="00D20C15">
        <w:rPr>
          <w:rFonts w:ascii="Century Gothic" w:hAnsi="Century Gothic"/>
          <w:sz w:val="26"/>
          <w:szCs w:val="24"/>
        </w:rPr>
        <w:t xml:space="preserve"> from the record.</w:t>
      </w:r>
    </w:p>
    <w:p w:rsidR="005B0E94" w:rsidRPr="00D20C15" w:rsidRDefault="005B0E94" w:rsidP="00FD35A0">
      <w:pPr>
        <w:pStyle w:val="NoSpacing"/>
        <w:jc w:val="both"/>
        <w:rPr>
          <w:rFonts w:ascii="Century Gothic" w:hAnsi="Century Gothic"/>
          <w:sz w:val="26"/>
          <w:szCs w:val="24"/>
        </w:rPr>
      </w:pPr>
    </w:p>
    <w:p w:rsidR="005C1A7A" w:rsidRPr="00D20C15" w:rsidRDefault="005B0E94" w:rsidP="00E6239E">
      <w:pPr>
        <w:pStyle w:val="NoSpacing"/>
        <w:spacing w:line="360" w:lineRule="auto"/>
        <w:jc w:val="both"/>
        <w:rPr>
          <w:rFonts w:ascii="Century Gothic" w:hAnsi="Century Gothic"/>
          <w:sz w:val="26"/>
          <w:szCs w:val="24"/>
        </w:rPr>
      </w:pPr>
      <w:r w:rsidRPr="00D20C15">
        <w:rPr>
          <w:rFonts w:ascii="Century Gothic" w:hAnsi="Century Gothic"/>
          <w:sz w:val="26"/>
          <w:szCs w:val="24"/>
        </w:rPr>
        <w:t>The</w:t>
      </w:r>
      <w:r w:rsidR="001C6A16" w:rsidRPr="00D20C15">
        <w:rPr>
          <w:rFonts w:ascii="Century Gothic" w:hAnsi="Century Gothic"/>
          <w:sz w:val="26"/>
          <w:szCs w:val="24"/>
        </w:rPr>
        <w:t xml:space="preserve"> Respondents </w:t>
      </w:r>
      <w:r w:rsidRPr="00D20C15">
        <w:rPr>
          <w:rFonts w:ascii="Century Gothic" w:hAnsi="Century Gothic"/>
          <w:sz w:val="26"/>
          <w:szCs w:val="24"/>
        </w:rPr>
        <w:t>having succeeded in one preliminary issue out of the three which were raised, I order that each party bears its own costs.</w:t>
      </w:r>
    </w:p>
    <w:p w:rsidR="00422C24" w:rsidRDefault="00422C24" w:rsidP="00422C24">
      <w:pPr>
        <w:pStyle w:val="NoSpacing"/>
        <w:spacing w:line="360" w:lineRule="auto"/>
        <w:jc w:val="both"/>
        <w:rPr>
          <w:rFonts w:ascii="Century Gothic" w:hAnsi="Century Gothic"/>
          <w:sz w:val="26"/>
        </w:rPr>
      </w:pPr>
    </w:p>
    <w:p w:rsidR="00422C24" w:rsidRPr="0011424F" w:rsidRDefault="00422C24" w:rsidP="00422C24">
      <w:pPr>
        <w:pStyle w:val="NoSpacing"/>
        <w:spacing w:line="360" w:lineRule="auto"/>
        <w:jc w:val="center"/>
        <w:rPr>
          <w:rFonts w:ascii="Century Gothic" w:hAnsi="Century Gothic"/>
          <w:i/>
          <w:sz w:val="26"/>
          <w:szCs w:val="24"/>
        </w:rPr>
      </w:pPr>
      <w:r w:rsidRPr="0011424F">
        <w:rPr>
          <w:rFonts w:ascii="Century Gothic" w:hAnsi="Century Gothic"/>
          <w:i/>
          <w:sz w:val="26"/>
          <w:szCs w:val="24"/>
        </w:rPr>
        <w:t>Dated ………………………….day of ……………………………..2013.</w:t>
      </w:r>
    </w:p>
    <w:p w:rsidR="00422C24" w:rsidRPr="0011424F" w:rsidRDefault="00422C24" w:rsidP="00422C24">
      <w:pPr>
        <w:pStyle w:val="NoSpacing"/>
        <w:spacing w:line="360" w:lineRule="auto"/>
        <w:jc w:val="both"/>
        <w:rPr>
          <w:rFonts w:ascii="Century Gothic" w:hAnsi="Century Gothic"/>
          <w:sz w:val="26"/>
          <w:szCs w:val="24"/>
        </w:rPr>
      </w:pPr>
    </w:p>
    <w:p w:rsidR="00422C24" w:rsidRPr="0011424F" w:rsidRDefault="00422C24" w:rsidP="00422C24">
      <w:pPr>
        <w:pStyle w:val="NoSpacing"/>
        <w:spacing w:line="360" w:lineRule="auto"/>
        <w:jc w:val="both"/>
        <w:rPr>
          <w:rFonts w:ascii="Century Gothic" w:hAnsi="Century Gothic"/>
          <w:sz w:val="26"/>
          <w:szCs w:val="24"/>
        </w:rPr>
      </w:pPr>
    </w:p>
    <w:p w:rsidR="00422C24" w:rsidRPr="0011424F" w:rsidRDefault="00422C24" w:rsidP="00422C24">
      <w:pPr>
        <w:pStyle w:val="NoSpacing"/>
        <w:jc w:val="center"/>
        <w:rPr>
          <w:rFonts w:ascii="Century Gothic" w:hAnsi="Century Gothic"/>
          <w:b/>
          <w:sz w:val="26"/>
          <w:szCs w:val="24"/>
        </w:rPr>
      </w:pPr>
      <w:r w:rsidRPr="0011424F">
        <w:rPr>
          <w:rFonts w:ascii="Century Gothic" w:hAnsi="Century Gothic"/>
          <w:b/>
          <w:sz w:val="26"/>
          <w:szCs w:val="24"/>
        </w:rPr>
        <w:t>___________________________</w:t>
      </w:r>
    </w:p>
    <w:p w:rsidR="00422C24" w:rsidRPr="0011424F" w:rsidRDefault="00422C24" w:rsidP="00422C24">
      <w:pPr>
        <w:pStyle w:val="NoSpacing"/>
        <w:jc w:val="center"/>
        <w:rPr>
          <w:rFonts w:ascii="Century Gothic" w:hAnsi="Century Gothic"/>
          <w:b/>
          <w:sz w:val="26"/>
          <w:szCs w:val="24"/>
        </w:rPr>
      </w:pPr>
      <w:r w:rsidRPr="0011424F">
        <w:rPr>
          <w:rFonts w:ascii="Century Gothic" w:hAnsi="Century Gothic"/>
          <w:b/>
          <w:sz w:val="26"/>
          <w:szCs w:val="24"/>
        </w:rPr>
        <w:t>M. S. MULENGA</w:t>
      </w:r>
    </w:p>
    <w:p w:rsidR="00422C24" w:rsidRPr="0011424F" w:rsidRDefault="00422C24" w:rsidP="00422C24">
      <w:pPr>
        <w:pStyle w:val="NoSpacing"/>
        <w:jc w:val="center"/>
        <w:rPr>
          <w:rFonts w:ascii="Century Gothic" w:hAnsi="Century Gothic"/>
          <w:b/>
          <w:sz w:val="26"/>
          <w:szCs w:val="24"/>
        </w:rPr>
      </w:pPr>
      <w:r w:rsidRPr="0011424F">
        <w:rPr>
          <w:rFonts w:ascii="Century Gothic" w:hAnsi="Century Gothic"/>
          <w:b/>
          <w:sz w:val="26"/>
          <w:szCs w:val="24"/>
        </w:rPr>
        <w:t>HIGH COURT JUDGE</w:t>
      </w:r>
    </w:p>
    <w:p w:rsidR="00422C24" w:rsidRPr="0011424F" w:rsidRDefault="00422C24" w:rsidP="00422C24">
      <w:pPr>
        <w:pStyle w:val="NoSpacing"/>
        <w:ind w:left="576"/>
        <w:jc w:val="center"/>
        <w:rPr>
          <w:rFonts w:ascii="Century Gothic" w:hAnsi="Century Gothic"/>
          <w:b/>
          <w:sz w:val="26"/>
          <w:szCs w:val="24"/>
        </w:rPr>
      </w:pPr>
    </w:p>
    <w:p w:rsidR="00422C24" w:rsidRPr="0011424F" w:rsidRDefault="00422C24" w:rsidP="00422C24">
      <w:pPr>
        <w:pStyle w:val="NoSpacing"/>
        <w:spacing w:line="360" w:lineRule="auto"/>
        <w:ind w:left="576"/>
        <w:jc w:val="center"/>
        <w:rPr>
          <w:rFonts w:ascii="Century Gothic" w:hAnsi="Century Gothic"/>
          <w:sz w:val="26"/>
          <w:szCs w:val="24"/>
        </w:rPr>
      </w:pPr>
    </w:p>
    <w:p w:rsidR="00422C24" w:rsidRPr="00742529" w:rsidRDefault="00422C24" w:rsidP="00422C24">
      <w:pPr>
        <w:pStyle w:val="NoSpacing"/>
        <w:spacing w:line="360" w:lineRule="auto"/>
        <w:jc w:val="both"/>
        <w:rPr>
          <w:rFonts w:ascii="Century Gothic" w:hAnsi="Century Gothic"/>
          <w:sz w:val="26"/>
        </w:rPr>
      </w:pPr>
    </w:p>
    <w:p w:rsidR="005C1A7A" w:rsidRPr="00D20C15" w:rsidRDefault="005C1A7A" w:rsidP="00E6239E">
      <w:pPr>
        <w:pStyle w:val="NoSpacing"/>
        <w:spacing w:line="360" w:lineRule="auto"/>
        <w:jc w:val="both"/>
        <w:rPr>
          <w:rFonts w:ascii="Century Gothic" w:hAnsi="Century Gothic"/>
          <w:sz w:val="26"/>
          <w:szCs w:val="24"/>
        </w:rPr>
      </w:pPr>
    </w:p>
    <w:sectPr w:rsidR="005C1A7A" w:rsidRPr="00D20C15" w:rsidSect="00BE6ABD">
      <w:footerReference w:type="default" r:id="rId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2D8" w:rsidRDefault="005522D8" w:rsidP="00D20C15">
      <w:pPr>
        <w:spacing w:after="0" w:line="240" w:lineRule="auto"/>
      </w:pPr>
      <w:r>
        <w:separator/>
      </w:r>
    </w:p>
  </w:endnote>
  <w:endnote w:type="continuationSeparator" w:id="1">
    <w:p w:rsidR="005522D8" w:rsidRDefault="005522D8" w:rsidP="00D20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8096"/>
      <w:docPartObj>
        <w:docPartGallery w:val="Page Numbers (Bottom of Page)"/>
        <w:docPartUnique/>
      </w:docPartObj>
    </w:sdtPr>
    <w:sdtContent>
      <w:p w:rsidR="00D20C15" w:rsidRDefault="00D20C15">
        <w:pPr>
          <w:pStyle w:val="Footer"/>
          <w:jc w:val="center"/>
        </w:pPr>
        <w:r w:rsidRPr="00D20C15">
          <w:rPr>
            <w:rFonts w:ascii="Century Gothic" w:hAnsi="Century Gothic"/>
            <w:sz w:val="26"/>
          </w:rPr>
          <w:t>R</w:t>
        </w:r>
        <w:r w:rsidR="0062786B" w:rsidRPr="00D20C15">
          <w:rPr>
            <w:rFonts w:ascii="Century Gothic" w:hAnsi="Century Gothic"/>
            <w:sz w:val="26"/>
          </w:rPr>
          <w:fldChar w:fldCharType="begin"/>
        </w:r>
        <w:r w:rsidRPr="00D20C15">
          <w:rPr>
            <w:rFonts w:ascii="Century Gothic" w:hAnsi="Century Gothic"/>
            <w:sz w:val="26"/>
          </w:rPr>
          <w:instrText xml:space="preserve"> PAGE   \* MERGEFORMAT </w:instrText>
        </w:r>
        <w:r w:rsidR="0062786B" w:rsidRPr="00D20C15">
          <w:rPr>
            <w:rFonts w:ascii="Century Gothic" w:hAnsi="Century Gothic"/>
            <w:sz w:val="26"/>
          </w:rPr>
          <w:fldChar w:fldCharType="separate"/>
        </w:r>
        <w:r w:rsidR="00653FAF">
          <w:rPr>
            <w:rFonts w:ascii="Century Gothic" w:hAnsi="Century Gothic"/>
            <w:noProof/>
            <w:sz w:val="26"/>
          </w:rPr>
          <w:t>1</w:t>
        </w:r>
        <w:r w:rsidR="0062786B" w:rsidRPr="00D20C15">
          <w:rPr>
            <w:rFonts w:ascii="Century Gothic" w:hAnsi="Century Gothic"/>
            <w:sz w:val="26"/>
          </w:rPr>
          <w:fldChar w:fldCharType="end"/>
        </w:r>
      </w:p>
    </w:sdtContent>
  </w:sdt>
  <w:p w:rsidR="00D20C15" w:rsidRDefault="00D20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2D8" w:rsidRDefault="005522D8" w:rsidP="00D20C15">
      <w:pPr>
        <w:spacing w:after="0" w:line="240" w:lineRule="auto"/>
      </w:pPr>
      <w:r>
        <w:separator/>
      </w:r>
    </w:p>
  </w:footnote>
  <w:footnote w:type="continuationSeparator" w:id="1">
    <w:p w:rsidR="005522D8" w:rsidRDefault="005522D8" w:rsidP="00D20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3344A"/>
    <w:multiLevelType w:val="hybridMultilevel"/>
    <w:tmpl w:val="FC12C1D2"/>
    <w:lvl w:ilvl="0" w:tplc="4484D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7A80"/>
    <w:rsid w:val="00004E66"/>
    <w:rsid w:val="000056AA"/>
    <w:rsid w:val="000342F7"/>
    <w:rsid w:val="00054AFC"/>
    <w:rsid w:val="0006792F"/>
    <w:rsid w:val="00080721"/>
    <w:rsid w:val="000B3944"/>
    <w:rsid w:val="000E0563"/>
    <w:rsid w:val="000E3E4F"/>
    <w:rsid w:val="001001E5"/>
    <w:rsid w:val="00123325"/>
    <w:rsid w:val="0014778C"/>
    <w:rsid w:val="0017522E"/>
    <w:rsid w:val="00181A7D"/>
    <w:rsid w:val="001820D6"/>
    <w:rsid w:val="001C02B4"/>
    <w:rsid w:val="001C6A16"/>
    <w:rsid w:val="001E59E9"/>
    <w:rsid w:val="001E6D7F"/>
    <w:rsid w:val="002076FF"/>
    <w:rsid w:val="00226495"/>
    <w:rsid w:val="002351CE"/>
    <w:rsid w:val="002438F1"/>
    <w:rsid w:val="0025726A"/>
    <w:rsid w:val="00290FFB"/>
    <w:rsid w:val="0029640D"/>
    <w:rsid w:val="002B3C63"/>
    <w:rsid w:val="002B7257"/>
    <w:rsid w:val="002B7D70"/>
    <w:rsid w:val="002C4D78"/>
    <w:rsid w:val="002D0F27"/>
    <w:rsid w:val="002E08C5"/>
    <w:rsid w:val="0030681D"/>
    <w:rsid w:val="0031233C"/>
    <w:rsid w:val="00324906"/>
    <w:rsid w:val="00340378"/>
    <w:rsid w:val="00361E50"/>
    <w:rsid w:val="00366FCC"/>
    <w:rsid w:val="00395FE2"/>
    <w:rsid w:val="003B44DD"/>
    <w:rsid w:val="003B6CA2"/>
    <w:rsid w:val="00422C24"/>
    <w:rsid w:val="00422FC5"/>
    <w:rsid w:val="0048588F"/>
    <w:rsid w:val="004F021C"/>
    <w:rsid w:val="004F3BA2"/>
    <w:rsid w:val="00524D6F"/>
    <w:rsid w:val="005522D8"/>
    <w:rsid w:val="005553A7"/>
    <w:rsid w:val="005852F1"/>
    <w:rsid w:val="00594A5B"/>
    <w:rsid w:val="005B0E94"/>
    <w:rsid w:val="005C0DD9"/>
    <w:rsid w:val="005C1A7A"/>
    <w:rsid w:val="005D4E74"/>
    <w:rsid w:val="0062786B"/>
    <w:rsid w:val="00653FAF"/>
    <w:rsid w:val="00657E4F"/>
    <w:rsid w:val="00683A3E"/>
    <w:rsid w:val="006949C7"/>
    <w:rsid w:val="006A36A1"/>
    <w:rsid w:val="006B0BB3"/>
    <w:rsid w:val="006F6E0C"/>
    <w:rsid w:val="00706627"/>
    <w:rsid w:val="00711D63"/>
    <w:rsid w:val="0078754C"/>
    <w:rsid w:val="007E6210"/>
    <w:rsid w:val="008053F0"/>
    <w:rsid w:val="0082346C"/>
    <w:rsid w:val="008245D8"/>
    <w:rsid w:val="00833AA2"/>
    <w:rsid w:val="00836BF0"/>
    <w:rsid w:val="00841920"/>
    <w:rsid w:val="0085001F"/>
    <w:rsid w:val="0086120E"/>
    <w:rsid w:val="008C5EFB"/>
    <w:rsid w:val="008E34AB"/>
    <w:rsid w:val="00900CFB"/>
    <w:rsid w:val="00901055"/>
    <w:rsid w:val="0092474B"/>
    <w:rsid w:val="00927A80"/>
    <w:rsid w:val="009363DE"/>
    <w:rsid w:val="0096796F"/>
    <w:rsid w:val="00992BDB"/>
    <w:rsid w:val="009C3F9D"/>
    <w:rsid w:val="00A056F1"/>
    <w:rsid w:val="00A12AB7"/>
    <w:rsid w:val="00A14E99"/>
    <w:rsid w:val="00A306E1"/>
    <w:rsid w:val="00A3131D"/>
    <w:rsid w:val="00A755FD"/>
    <w:rsid w:val="00A81B8B"/>
    <w:rsid w:val="00A87DD2"/>
    <w:rsid w:val="00A966DC"/>
    <w:rsid w:val="00AC2D60"/>
    <w:rsid w:val="00B22F9F"/>
    <w:rsid w:val="00B24406"/>
    <w:rsid w:val="00B42696"/>
    <w:rsid w:val="00B628D9"/>
    <w:rsid w:val="00B84797"/>
    <w:rsid w:val="00B97A71"/>
    <w:rsid w:val="00BE6ABD"/>
    <w:rsid w:val="00BE6C43"/>
    <w:rsid w:val="00C044B3"/>
    <w:rsid w:val="00C51BE3"/>
    <w:rsid w:val="00C6657B"/>
    <w:rsid w:val="00C80BD6"/>
    <w:rsid w:val="00CC64A9"/>
    <w:rsid w:val="00CC7F6C"/>
    <w:rsid w:val="00CD0BF9"/>
    <w:rsid w:val="00CD3BB1"/>
    <w:rsid w:val="00CE0901"/>
    <w:rsid w:val="00D0683C"/>
    <w:rsid w:val="00D114D4"/>
    <w:rsid w:val="00D119B5"/>
    <w:rsid w:val="00D20C15"/>
    <w:rsid w:val="00D45083"/>
    <w:rsid w:val="00D815B0"/>
    <w:rsid w:val="00D859E7"/>
    <w:rsid w:val="00DA31DC"/>
    <w:rsid w:val="00DB5840"/>
    <w:rsid w:val="00DC4698"/>
    <w:rsid w:val="00DE5A81"/>
    <w:rsid w:val="00DF4BCB"/>
    <w:rsid w:val="00DF56DF"/>
    <w:rsid w:val="00E122EB"/>
    <w:rsid w:val="00E13791"/>
    <w:rsid w:val="00E6239E"/>
    <w:rsid w:val="00E851EF"/>
    <w:rsid w:val="00E924BD"/>
    <w:rsid w:val="00ED6561"/>
    <w:rsid w:val="00EE1AB6"/>
    <w:rsid w:val="00F12B45"/>
    <w:rsid w:val="00F3336E"/>
    <w:rsid w:val="00F52FF7"/>
    <w:rsid w:val="00F53CAC"/>
    <w:rsid w:val="00F56B75"/>
    <w:rsid w:val="00F64B8A"/>
    <w:rsid w:val="00FD35A0"/>
    <w:rsid w:val="00FF5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A80"/>
    <w:pPr>
      <w:spacing w:after="0" w:line="240" w:lineRule="auto"/>
    </w:pPr>
  </w:style>
  <w:style w:type="paragraph" w:styleId="Header">
    <w:name w:val="header"/>
    <w:basedOn w:val="Normal"/>
    <w:link w:val="HeaderChar"/>
    <w:uiPriority w:val="99"/>
    <w:semiHidden/>
    <w:unhideWhenUsed/>
    <w:rsid w:val="00D20C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C15"/>
  </w:style>
  <w:style w:type="paragraph" w:styleId="Footer">
    <w:name w:val="footer"/>
    <w:basedOn w:val="Normal"/>
    <w:link w:val="FooterChar"/>
    <w:uiPriority w:val="99"/>
    <w:unhideWhenUsed/>
    <w:rsid w:val="00D2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15"/>
  </w:style>
  <w:style w:type="character" w:customStyle="1" w:styleId="NoSpacingChar">
    <w:name w:val="No Spacing Char"/>
    <w:basedOn w:val="DefaultParagraphFont"/>
    <w:link w:val="NoSpacing"/>
    <w:uiPriority w:val="1"/>
    <w:locked/>
    <w:rsid w:val="00422C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2013-12-05T09:13:00Z</dcterms:created>
  <dcterms:modified xsi:type="dcterms:W3CDTF">2013-12-05T09:13:00Z</dcterms:modified>
</cp:coreProperties>
</file>